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18bis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2407773</w:t>
      </w:r>
    </w:p>
    <w:p>
      <w:pPr>
        <w:snapToGrid w:val="0"/>
        <w:spacing w:line="240" w:lineRule="auto"/>
        <w:rPr>
          <w:rFonts w:ascii="Arial" w:hAnsi="Arial" w:eastAsia="宋体"/>
          <w:b/>
          <w:sz w:val="22"/>
        </w:rPr>
      </w:pPr>
      <w:r>
        <w:rPr>
          <w:rFonts w:hint="eastAsia" w:ascii="Arial" w:hAnsi="Arial" w:eastAsia="宋体"/>
          <w:b/>
          <w:sz w:val="22"/>
        </w:rPr>
        <w:t>Hefei, China</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October 14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18</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24</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105</w:t>
      </w:r>
      <w:r>
        <w:rPr>
          <w:rFonts w:hint="eastAsia" w:eastAsia="微软雅黑"/>
          <w:szCs w:val="20"/>
          <w:lang w:val="en-GB"/>
        </w:rPr>
        <w:t xml:space="preserve"> meeting, a </w:t>
      </w:r>
      <w:r>
        <w:rPr>
          <w:rFonts w:hint="eastAsia" w:eastAsia="微软雅黑"/>
          <w:szCs w:val="20"/>
        </w:rPr>
        <w:t>revised</w:t>
      </w:r>
      <w:r>
        <w:rPr>
          <w:rFonts w:hint="eastAsia" w:eastAsia="微软雅黑"/>
          <w:szCs w:val="20"/>
          <w:lang w:val="en-GB"/>
        </w:rPr>
        <w:t xml:space="preserve">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Multiple Trigge</w:t>
      </w:r>
      <w:r>
        <w:rPr>
          <w:rFonts w:eastAsia="宋体"/>
          <w:b/>
          <w:sz w:val="28"/>
          <w:szCs w:val="28"/>
        </w:rPr>
        <w:t>r</w:t>
      </w:r>
      <w:r>
        <w:rPr>
          <w:rFonts w:hint="eastAsia" w:eastAsia="宋体"/>
          <w:b/>
          <w:sz w:val="28"/>
          <w:szCs w:val="28"/>
        </w:rPr>
        <w:t xml:space="preserve"> events </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Event-2</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In RAN1#118 meeting, the following agreements regarding </w:t>
      </w:r>
      <w:r>
        <w:rPr>
          <w:rFonts w:hint="eastAsia"/>
          <w:szCs w:val="20"/>
        </w:rPr>
        <w:t>Event</w:t>
      </w:r>
      <w:r>
        <w:rPr>
          <w:rFonts w:hint="eastAsia" w:eastAsia="宋体"/>
          <w:szCs w:val="20"/>
        </w:rPr>
        <w:t>-</w:t>
      </w:r>
      <w:r>
        <w:rPr>
          <w:rFonts w:hint="eastAsia"/>
          <w:szCs w:val="20"/>
        </w:rPr>
        <w:t>2</w:t>
      </w:r>
      <w:r>
        <w:rPr>
          <w:rFonts w:hint="eastAsia" w:eastAsia="宋体"/>
          <w:szCs w:val="20"/>
        </w:rPr>
        <w:t xml:space="preserve">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szCs w:val="20"/>
              </w:rPr>
            </w:pPr>
            <w:r>
              <w:rPr>
                <w:rFonts w:ascii="Times" w:hAnsi="Times" w:eastAsia="等线" w:cs="Times"/>
                <w:b/>
                <w:bCs/>
                <w:u w:val="single"/>
              </w:rPr>
              <w:t>Agreement</w:t>
            </w:r>
          </w:p>
          <w:p>
            <w:pPr>
              <w:snapToGrid w:val="0"/>
              <w:spacing w:before="72" w:beforeLines="30" w:after="72" w:afterLines="30" w:line="288" w:lineRule="auto"/>
              <w:jc w:val="both"/>
              <w:rPr>
                <w:szCs w:val="20"/>
              </w:rPr>
            </w:pPr>
            <w:r>
              <w:rPr>
                <w:rFonts w:hint="eastAsia"/>
                <w:szCs w:val="20"/>
              </w:rPr>
              <w:t>Regarding explicit RS configuration for new beam measurement for Event 2, at least Option-1 is supported</w:t>
            </w:r>
          </w:p>
          <w:p>
            <w:pPr>
              <w:numPr>
                <w:ilvl w:val="0"/>
                <w:numId w:val="9"/>
              </w:numPr>
              <w:tabs>
                <w:tab w:val="left" w:pos="360"/>
                <w:tab w:val="clear" w:pos="-420"/>
              </w:tabs>
              <w:adjustRightInd w:val="0"/>
              <w:snapToGrid w:val="0"/>
              <w:spacing w:before="72" w:beforeLines="30" w:after="72" w:afterLines="30" w:line="288" w:lineRule="auto"/>
              <w:rPr>
                <w:rFonts w:eastAsia="宋体"/>
                <w:color w:val="000000"/>
                <w:szCs w:val="20"/>
              </w:rPr>
            </w:pPr>
            <w:r>
              <w:rPr>
                <w:rFonts w:eastAsia="宋体"/>
                <w:color w:val="000000"/>
                <w:szCs w:val="20"/>
              </w:rPr>
              <w:t>Option-1: The RS(s) for new beam(s) are explicitly configured in one RS resource set associated with an CSI reporting configuration</w:t>
            </w:r>
          </w:p>
          <w:p>
            <w:pPr>
              <w:numPr>
                <w:ilvl w:val="1"/>
                <w:numId w:val="9"/>
              </w:numPr>
              <w:adjustRightInd w:val="0"/>
              <w:snapToGrid w:val="0"/>
              <w:spacing w:before="72" w:beforeLines="30" w:after="72" w:afterLines="30" w:line="288" w:lineRule="auto"/>
              <w:rPr>
                <w:rFonts w:eastAsia="宋体"/>
                <w:color w:val="000000"/>
                <w:szCs w:val="20"/>
              </w:rPr>
            </w:pPr>
            <w:r>
              <w:rPr>
                <w:rFonts w:eastAsia="宋体"/>
                <w:color w:val="000000"/>
                <w:szCs w:val="20"/>
              </w:rPr>
              <w:t>If legacy UE capability signaling cannot be reused, introduce a UE capability signaling of indicating the maximum number of the configured RS(s) in the RS resource set.</w:t>
            </w:r>
          </w:p>
          <w:p>
            <w:pPr>
              <w:numPr>
                <w:ilvl w:val="1"/>
                <w:numId w:val="9"/>
              </w:numPr>
              <w:adjustRightInd w:val="0"/>
              <w:snapToGrid w:val="0"/>
              <w:spacing w:before="72" w:beforeLines="30" w:after="72" w:afterLines="30" w:line="288" w:lineRule="auto"/>
              <w:rPr>
                <w:rFonts w:eastAsia="宋体"/>
                <w:color w:val="000000"/>
                <w:szCs w:val="20"/>
              </w:rPr>
            </w:pPr>
            <w:r>
              <w:rPr>
                <w:rFonts w:eastAsia="宋体"/>
                <w:color w:val="000000"/>
                <w:szCs w:val="20"/>
              </w:rPr>
              <w:t>FFS: The RS in the RS resource set can be updated by MAC-CE</w:t>
            </w:r>
          </w:p>
          <w:p>
            <w:pPr>
              <w:snapToGrid w:val="0"/>
              <w:spacing w:before="72" w:beforeLines="30" w:after="72" w:afterLines="30" w:line="288" w:lineRule="auto"/>
              <w:jc w:val="both"/>
              <w:rPr>
                <w:szCs w:val="20"/>
              </w:rPr>
            </w:pPr>
            <w:r>
              <w:rPr>
                <w:rFonts w:ascii="Times" w:hAnsi="Times" w:eastAsia="等线" w:cs="Times"/>
                <w:b/>
                <w:bCs/>
                <w:u w:val="single"/>
              </w:rPr>
              <w:t>Agreement</w:t>
            </w:r>
          </w:p>
          <w:p>
            <w:pPr>
              <w:adjustRightInd w:val="0"/>
              <w:snapToGrid w:val="0"/>
              <w:spacing w:before="72" w:beforeLines="30" w:after="72" w:afterLines="30" w:line="288" w:lineRule="auto"/>
              <w:jc w:val="both"/>
              <w:rPr>
                <w:rFonts w:eastAsia="宋体"/>
                <w:color w:val="000000"/>
                <w:szCs w:val="20"/>
              </w:rPr>
            </w:pPr>
            <w:r>
              <w:rPr>
                <w:rFonts w:eastAsia="宋体"/>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pPr>
              <w:pStyle w:val="111"/>
              <w:numPr>
                <w:ilvl w:val="0"/>
                <w:numId w:val="10"/>
              </w:numPr>
              <w:adjustRightInd w:val="0"/>
              <w:snapToGrid w:val="0"/>
              <w:spacing w:before="72" w:beforeLines="30" w:after="72" w:afterLines="30" w:line="288" w:lineRule="auto"/>
              <w:ind w:firstLineChars="0"/>
              <w:jc w:val="both"/>
              <w:rPr>
                <w:color w:val="000000"/>
                <w:szCs w:val="20"/>
              </w:rPr>
            </w:pPr>
            <w:r>
              <w:rPr>
                <w:color w:val="000000"/>
                <w:szCs w:val="20"/>
              </w:rPr>
              <w:t>Option-1: Introducing additional s</w:t>
            </w:r>
            <w:r>
              <w:rPr>
                <w:rFonts w:hint="eastAsia"/>
                <w:color w:val="000000"/>
                <w:szCs w:val="20"/>
              </w:rPr>
              <w:t>cheme: the RS for current be</w:t>
            </w:r>
            <w:r>
              <w:rPr>
                <w:color w:val="000000"/>
                <w:szCs w:val="20"/>
              </w:rPr>
              <w:t>a</w:t>
            </w:r>
            <w:r>
              <w:rPr>
                <w:rFonts w:hint="eastAsia"/>
                <w:color w:val="000000"/>
                <w:szCs w:val="20"/>
              </w:rPr>
              <w:t>m can be a CSI-RS for beam management derived from the QCL RS in the indicated TCI state</w:t>
            </w:r>
            <w:r>
              <w:rPr>
                <w:color w:val="000000"/>
                <w:szCs w:val="20"/>
              </w:rPr>
              <w:t>;</w:t>
            </w:r>
          </w:p>
          <w:p>
            <w:pPr>
              <w:pStyle w:val="111"/>
              <w:numPr>
                <w:ilvl w:val="0"/>
                <w:numId w:val="10"/>
              </w:numPr>
              <w:adjustRightInd w:val="0"/>
              <w:snapToGrid w:val="0"/>
              <w:spacing w:before="72" w:beforeLines="30" w:after="72" w:afterLines="30" w:line="288" w:lineRule="auto"/>
              <w:ind w:firstLineChars="0"/>
              <w:jc w:val="both"/>
              <w:rPr>
                <w:color w:val="000000"/>
                <w:szCs w:val="20"/>
              </w:rPr>
            </w:pPr>
            <w:r>
              <w:rPr>
                <w:color w:val="000000"/>
                <w:szCs w:val="20"/>
              </w:rPr>
              <w:t>Option-2: Further support TRS as measurement RS of current beam for determining L1-RSRP</w:t>
            </w:r>
          </w:p>
          <w:p>
            <w:pPr>
              <w:pStyle w:val="111"/>
              <w:numPr>
                <w:ilvl w:val="0"/>
                <w:numId w:val="10"/>
              </w:numPr>
              <w:adjustRightInd w:val="0"/>
              <w:snapToGrid w:val="0"/>
              <w:spacing w:before="72" w:beforeLines="30" w:after="72" w:afterLines="30" w:line="288" w:lineRule="auto"/>
              <w:ind w:firstLineChars="0"/>
              <w:jc w:val="both"/>
              <w:rPr>
                <w:color w:val="000000"/>
                <w:szCs w:val="20"/>
              </w:rPr>
            </w:pPr>
            <w:r>
              <w:rPr>
                <w:color w:val="000000"/>
                <w:szCs w:val="20"/>
              </w:rPr>
              <w:t>Option-3: Introducing additional s</w:t>
            </w:r>
            <w:r>
              <w:rPr>
                <w:rFonts w:hint="eastAsia"/>
                <w:color w:val="000000"/>
                <w:szCs w:val="20"/>
              </w:rPr>
              <w:t xml:space="preserve">cheme: </w:t>
            </w:r>
            <w:r>
              <w:rPr>
                <w:color w:val="000000"/>
                <w:szCs w:val="20"/>
              </w:rPr>
              <w:t>The RS for current beam is explicitly configured by RRC or MAC-CE (Option-2C in RAN1 116b agreement).</w:t>
            </w:r>
          </w:p>
          <w:p>
            <w:pPr>
              <w:pStyle w:val="111"/>
              <w:numPr>
                <w:ilvl w:val="0"/>
                <w:numId w:val="10"/>
              </w:numPr>
              <w:adjustRightInd w:val="0"/>
              <w:snapToGrid w:val="0"/>
              <w:spacing w:before="72" w:beforeLines="30" w:after="72" w:afterLines="30" w:line="288" w:lineRule="auto"/>
              <w:ind w:firstLineChars="0"/>
              <w:jc w:val="both"/>
              <w:rPr>
                <w:color w:val="000000"/>
                <w:szCs w:val="20"/>
              </w:rPr>
            </w:pPr>
            <w:r>
              <w:rPr>
                <w:color w:val="000000"/>
                <w:szCs w:val="20"/>
              </w:rPr>
              <w:t xml:space="preserve">Option-4: No further enhancement </w:t>
            </w:r>
          </w:p>
          <w:p>
            <w:pPr>
              <w:spacing w:before="72" w:beforeLines="30" w:after="72" w:afterLines="30" w:line="288" w:lineRule="auto"/>
            </w:pPr>
            <w:r>
              <w:t xml:space="preserve">Note: If there is no consensus in RAN1 on one of Options 1/2/3, Option 4 will be taken. </w:t>
            </w:r>
          </w:p>
          <w:p>
            <w:pPr>
              <w:snapToGrid w:val="0"/>
              <w:spacing w:before="72" w:beforeLines="30" w:after="72" w:afterLines="30" w:line="288" w:lineRule="auto"/>
              <w:jc w:val="both"/>
              <w:rPr>
                <w:rFonts w:ascii="Times" w:hAnsi="Times" w:eastAsia="等线" w:cs="Times"/>
                <w:b/>
                <w:bCs/>
                <w:u w:val="single"/>
              </w:rPr>
            </w:pPr>
            <w:r>
              <w:rPr>
                <w:rFonts w:ascii="Times" w:hAnsi="Times" w:eastAsia="等线" w:cs="Times"/>
                <w:b/>
                <w:bCs/>
                <w:u w:val="single"/>
              </w:rPr>
              <w:t>Agreement</w:t>
            </w:r>
          </w:p>
          <w:p>
            <w:pPr>
              <w:spacing w:before="72" w:beforeLines="30" w:after="72" w:afterLines="30" w:line="288" w:lineRule="auto"/>
            </w:pPr>
            <w:r>
              <w:t>On UE-initiated/event-driven beam reporting, regarding L1-RSRP report format Option-3 depending on Event-2, the following differential L1-RSRP report format is supported.</w:t>
            </w:r>
          </w:p>
          <w:tbl>
            <w:tblPr>
              <w:tblStyle w:val="23"/>
              <w:tblW w:w="4904" w:type="dxa"/>
              <w:tblInd w:w="1819" w:type="dxa"/>
              <w:tblLayout w:type="autofit"/>
              <w:tblCellMar>
                <w:top w:w="0" w:type="dxa"/>
                <w:left w:w="0" w:type="dxa"/>
                <w:bottom w:w="0" w:type="dxa"/>
                <w:right w:w="0" w:type="dxa"/>
              </w:tblCellMar>
            </w:tblPr>
            <w:tblGrid>
              <w:gridCol w:w="4904"/>
            </w:tblGrid>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CRI or SSBRI #1</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CRI or SSBRI #2</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CRI or SSBRI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L1-RSRP #1</w:t>
                  </w:r>
                </w:p>
              </w:tc>
            </w:tr>
            <w:tr>
              <w:tblPrEx>
                <w:tblCellMar>
                  <w:top w:w="0" w:type="dxa"/>
                  <w:left w:w="0" w:type="dxa"/>
                  <w:bottom w:w="0" w:type="dxa"/>
                  <w:right w:w="0" w:type="dxa"/>
                </w:tblCellMar>
              </w:tblPrEx>
              <w:trPr>
                <w:trHeight w:val="279"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Differential L1-RSRP #2</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w:t>
                  </w:r>
                </w:p>
              </w:tc>
            </w:tr>
            <w:tr>
              <w:tblPrEx>
                <w:tblCellMar>
                  <w:top w:w="0" w:type="dxa"/>
                  <w:left w:w="0" w:type="dxa"/>
                  <w:bottom w:w="0" w:type="dxa"/>
                  <w:right w:w="0" w:type="dxa"/>
                </w:tblCellMar>
              </w:tblPrEx>
              <w:trPr>
                <w:trHeight w:val="240" w:hRule="atLeast"/>
              </w:trPr>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Differential L1-RSRP #N</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Differential L1-RSRP for current beam, if report mode that current beam is always reported is enabled by RRC</w:t>
                  </w:r>
                </w:p>
              </w:tc>
            </w:tr>
            <w:tr>
              <w:tblPrEx>
                <w:tblCellMar>
                  <w:top w:w="0" w:type="dxa"/>
                  <w:left w:w="0" w:type="dxa"/>
                  <w:bottom w:w="0" w:type="dxa"/>
                  <w:right w:w="0" w:type="dxa"/>
                </w:tblCellMar>
              </w:tblPrEx>
              <w:tc>
                <w:tcPr>
                  <w:tcW w:w="49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pacing w:before="72" w:beforeLines="30" w:after="72" w:afterLines="30" w:line="288" w:lineRule="auto"/>
                    <w:jc w:val="center"/>
                  </w:pPr>
                  <w:r>
                    <w:t>Not</w:t>
                  </w:r>
                  <w:r>
                    <w:rPr>
                      <w:rFonts w:hint="eastAsia"/>
                    </w:rPr>
                    <w:t>e</w:t>
                  </w:r>
                  <w:r>
                    <w:t>: Other contents are not precluded</w:t>
                  </w:r>
                </w:p>
              </w:tc>
            </w:tr>
          </w:tbl>
          <w:p>
            <w:pPr>
              <w:pStyle w:val="111"/>
              <w:numPr>
                <w:ilvl w:val="1"/>
                <w:numId w:val="11"/>
              </w:numPr>
              <w:adjustRightInd w:val="0"/>
              <w:snapToGrid w:val="0"/>
              <w:spacing w:before="72" w:beforeLines="30" w:after="72" w:afterLines="30" w:line="288" w:lineRule="auto"/>
              <w:ind w:firstLineChars="0"/>
              <w:rPr>
                <w:szCs w:val="20"/>
              </w:rPr>
            </w:pPr>
            <w:r>
              <w:rPr>
                <w:szCs w:val="20"/>
              </w:rPr>
              <w:t>Differential L1-RSRP #2~#N/current beam is determined based on the difference between measured L1-RSRP corresponding to the CRI/SSBRI #2~#N/current beam and the measured L1-RSRP corresponding to CRI/SSBRI #1</w:t>
            </w:r>
          </w:p>
          <w:p>
            <w:pPr>
              <w:pStyle w:val="111"/>
              <w:numPr>
                <w:ilvl w:val="1"/>
                <w:numId w:val="11"/>
              </w:numPr>
              <w:adjustRightInd w:val="0"/>
              <w:snapToGrid w:val="0"/>
              <w:spacing w:before="72" w:beforeLines="30" w:after="72" w:afterLines="30" w:line="288" w:lineRule="auto"/>
              <w:ind w:firstLineChars="0"/>
              <w:rPr>
                <w:szCs w:val="20"/>
              </w:rPr>
            </w:pPr>
            <w:r>
              <w:rPr>
                <w:szCs w:val="20"/>
              </w:rPr>
              <w:t>L1-RSRP#1 is the largest measured RSRP among reported ones, and an absolute L1-RSRP.</w:t>
            </w:r>
          </w:p>
          <w:p>
            <w:pPr>
              <w:pStyle w:val="111"/>
              <w:numPr>
                <w:ilvl w:val="1"/>
                <w:numId w:val="11"/>
              </w:numPr>
              <w:adjustRightInd w:val="0"/>
              <w:snapToGrid w:val="0"/>
              <w:spacing w:before="72" w:beforeLines="30" w:after="72" w:afterLines="30" w:line="288" w:lineRule="auto"/>
              <w:ind w:firstLineChars="0"/>
              <w:rPr>
                <w:szCs w:val="20"/>
              </w:rPr>
            </w:pPr>
            <w:r>
              <w:rPr>
                <w:szCs w:val="20"/>
              </w:rPr>
              <w:t>FFS: range and step size of differential L1-RSRP</w:t>
            </w:r>
          </w:p>
          <w:p>
            <w:pPr>
              <w:pStyle w:val="111"/>
              <w:numPr>
                <w:ilvl w:val="1"/>
                <w:numId w:val="11"/>
              </w:numPr>
              <w:adjustRightInd w:val="0"/>
              <w:snapToGrid w:val="0"/>
              <w:spacing w:before="72" w:beforeLines="30" w:after="72" w:afterLines="30" w:line="288" w:lineRule="auto"/>
              <w:ind w:firstLineChars="0"/>
              <w:rPr>
                <w:szCs w:val="20"/>
              </w:rPr>
            </w:pPr>
            <w:r>
              <w:rPr>
                <w:szCs w:val="20"/>
              </w:rPr>
              <w:t xml:space="preserve">FFS: Whether/how to report additional indication of which CRI/SSBRI(s) satisfy the condition of Event-2. </w:t>
            </w:r>
          </w:p>
          <w:p>
            <w:pPr>
              <w:pStyle w:val="111"/>
              <w:numPr>
                <w:ilvl w:val="1"/>
                <w:numId w:val="11"/>
              </w:numPr>
              <w:adjustRightInd w:val="0"/>
              <w:snapToGrid w:val="0"/>
              <w:spacing w:before="72" w:beforeLines="30" w:after="72" w:afterLines="30" w:line="288" w:lineRule="auto"/>
              <w:ind w:firstLineChars="0"/>
              <w:rPr>
                <w:szCs w:val="20"/>
              </w:rPr>
            </w:pPr>
            <w:r>
              <w:rPr>
                <w:rFonts w:hint="eastAsia"/>
                <w:szCs w:val="20"/>
              </w:rPr>
              <w:t>FFS</w:t>
            </w:r>
            <w:r>
              <w:rPr>
                <w:szCs w:val="20"/>
              </w:rPr>
              <w:t>: Additional report content(s) (e.g., reporting configuration ID, indication for synchronization state, event ID, or cell ID).</w:t>
            </w:r>
          </w:p>
          <w:p>
            <w:pPr>
              <w:snapToGrid w:val="0"/>
              <w:spacing w:before="72" w:beforeLines="30" w:after="72" w:afterLines="30" w:line="288" w:lineRule="auto"/>
              <w:jc w:val="both"/>
              <w:rPr>
                <w:rFonts w:ascii="Times" w:hAnsi="Times" w:eastAsia="等线" w:cs="Times"/>
                <w:b/>
                <w:bCs/>
                <w:u w:val="single"/>
              </w:rPr>
            </w:pPr>
            <w:r>
              <w:rPr>
                <w:rFonts w:ascii="Times" w:hAnsi="Times" w:eastAsia="等线" w:cs="Times"/>
                <w:b/>
                <w:bCs/>
                <w:u w:val="single"/>
              </w:rPr>
              <w:t>Agreement</w:t>
            </w:r>
          </w:p>
          <w:p>
            <w:pPr>
              <w:adjustRightInd w:val="0"/>
              <w:snapToGrid w:val="0"/>
              <w:spacing w:before="72" w:beforeLines="30" w:after="72" w:afterLines="30" w:line="288" w:lineRule="auto"/>
              <w:rPr>
                <w:rFonts w:eastAsia="宋体"/>
                <w:szCs w:val="20"/>
              </w:rPr>
            </w:pPr>
            <w:r>
              <w:rPr>
                <w:rFonts w:eastAsia="宋体"/>
                <w:szCs w:val="20"/>
              </w:rPr>
              <w:t>On UE-initiated/event-driven beam reporting, regarding L1-RSRP report format Option-3 depending on Event-2, the candidate value of ‘N’ at least comprises {1, 2, 3, 4}</w:t>
            </w:r>
            <w:r>
              <w:rPr>
                <w:rFonts w:eastAsia="宋体"/>
                <w:sz w:val="18"/>
                <w:szCs w:val="20"/>
              </w:rPr>
              <w:t xml:space="preserve">  </w:t>
            </w:r>
          </w:p>
          <w:p>
            <w:pPr>
              <w:pStyle w:val="111"/>
              <w:numPr>
                <w:ilvl w:val="1"/>
                <w:numId w:val="11"/>
              </w:numPr>
              <w:adjustRightInd w:val="0"/>
              <w:snapToGrid w:val="0"/>
              <w:spacing w:before="72" w:beforeLines="30" w:after="72" w:afterLines="30" w:line="288" w:lineRule="auto"/>
              <w:ind w:firstLineChars="0"/>
              <w:rPr>
                <w:szCs w:val="20"/>
              </w:rPr>
            </w:pPr>
            <w:r>
              <w:rPr>
                <w:szCs w:val="20"/>
              </w:rPr>
              <w:t>FFS: additional candidate value(s) of {5, 6, 7, 8}</w:t>
            </w:r>
          </w:p>
          <w:p>
            <w:pPr>
              <w:pStyle w:val="111"/>
              <w:numPr>
                <w:ilvl w:val="1"/>
                <w:numId w:val="11"/>
              </w:numPr>
              <w:adjustRightInd w:val="0"/>
              <w:snapToGrid w:val="0"/>
              <w:spacing w:before="72" w:beforeLines="30" w:after="72" w:afterLines="30" w:line="288" w:lineRule="auto"/>
              <w:ind w:firstLineChars="0"/>
            </w:pPr>
            <w:r>
              <w:rPr>
                <w:szCs w:val="20"/>
              </w:rPr>
              <w:t xml:space="preserve">FFS: If ‘N’ is not RRC configured, only one L1-RSRP and CRI/SSBRI are reported by default. </w:t>
            </w:r>
          </w:p>
        </w:tc>
      </w:tr>
    </w:tbl>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Measurement RS for new beams</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For timely TCI state update or switch</w:t>
      </w:r>
      <w:r>
        <w:rPr>
          <w:rFonts w:eastAsia="宋体"/>
          <w:szCs w:val="20"/>
        </w:rPr>
        <w:t>ing</w:t>
      </w:r>
      <w:r>
        <w:rPr>
          <w:rFonts w:hint="eastAsia" w:eastAsia="宋体"/>
          <w:szCs w:val="20"/>
        </w:rPr>
        <w:t>, measurement RSs configured for new beams should be associated with a configured TCI state. As specified in TS 38.133 clause 8.10, regardless of MAC-CE based or RRC based TCI state switch, the switch delay can be reduced for a known TCI state compared to an unknown one. Hence, the association can minimize the TCI state switch delay by ensuring the new beam is always known. Furthermore, t</w:t>
      </w:r>
      <w:r>
        <w:t>his association allows the network to activate or indicate a new beam to the UE without requiring an RRC reconfiguration of the TCI states, thereby reducing the latency of TCI state update or switching</w:t>
      </w:r>
      <w:r>
        <w:rPr>
          <w:rFonts w:hint="eastAsia" w:eastAsia="宋体"/>
          <w:szCs w:val="20"/>
        </w:rPr>
        <w:t>.</w:t>
      </w:r>
    </w:p>
    <w:p>
      <w:pPr>
        <w:pStyle w:val="99"/>
        <w:snapToGrid w:val="0"/>
        <w:spacing w:before="60" w:beforeLines="25" w:after="60" w:afterLines="25" w:line="300" w:lineRule="auto"/>
        <w:ind w:firstLine="0" w:firstLineChars="0"/>
        <w:jc w:val="both"/>
        <w:rPr>
          <w:rFonts w:eastAsia="宋体"/>
        </w:rPr>
      </w:pPr>
      <w:r>
        <w:rPr>
          <w:rFonts w:hint="eastAsia" w:eastAsia="宋体"/>
        </w:rPr>
        <w:t xml:space="preserve">With the update of the indicated TCI state, the RSs configured for new beams may require an update as well. </w:t>
      </w:r>
      <w:r>
        <w:rPr>
          <w:rFonts w:eastAsia="宋体"/>
        </w:rPr>
        <w:t>Consequently, it can reduce latency of UEI beam report via s</w:t>
      </w:r>
      <w:r>
        <w:rPr>
          <w:rFonts w:hint="eastAsia" w:eastAsia="宋体"/>
        </w:rPr>
        <w:t xml:space="preserve">upporting RS resource set update by MAC-CE </w:t>
      </w:r>
      <w:r>
        <w:rPr>
          <w:rFonts w:eastAsia="宋体"/>
        </w:rPr>
        <w:t>when</w:t>
      </w:r>
      <w:r>
        <w:rPr>
          <w:rFonts w:hint="eastAsia" w:eastAsia="宋体"/>
        </w:rPr>
        <w:t xml:space="preserve"> compared with the reconfiguration of the RS resource set in a CSI report configuration</w:t>
      </w:r>
      <w:r>
        <w:rPr>
          <w:rFonts w:hint="eastAsia"/>
        </w:rPr>
        <w:t>.</w:t>
      </w:r>
    </w:p>
    <w:p>
      <w:pPr>
        <w:pStyle w:val="111"/>
        <w:widowControl w:val="0"/>
        <w:spacing w:before="72" w:beforeLines="30" w:after="72" w:afterLines="30" w:line="288" w:lineRule="auto"/>
        <w:ind w:firstLine="0" w:firstLineChars="0"/>
        <w:jc w:val="both"/>
        <w:rPr>
          <w:rFonts w:eastAsia="宋体"/>
          <w:i/>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i/>
          <w:szCs w:val="20"/>
        </w:rPr>
        <w:t xml:space="preserve">Regarding the explicit measurement </w:t>
      </w:r>
      <w:r>
        <w:rPr>
          <w:rFonts w:hint="eastAsia"/>
          <w:i/>
        </w:rPr>
        <w:t xml:space="preserve">RS </w:t>
      </w:r>
      <w:r>
        <w:rPr>
          <w:rFonts w:hint="eastAsia" w:eastAsia="宋体"/>
          <w:i/>
        </w:rPr>
        <w:t xml:space="preserve">configuration </w:t>
      </w:r>
      <w:r>
        <w:rPr>
          <w:rFonts w:hint="eastAsia"/>
          <w:i/>
        </w:rPr>
        <w:t>for new beam</w:t>
      </w:r>
      <w:r>
        <w:rPr>
          <w:rFonts w:hint="eastAsia" w:eastAsia="宋体"/>
          <w:i/>
        </w:rPr>
        <w:t xml:space="preserve">s in the RS resource set associated with an CSI reporting configuration </w:t>
      </w:r>
      <w:r>
        <w:rPr>
          <w:rFonts w:hint="eastAsia"/>
          <w:i/>
        </w:rPr>
        <w:t>for Event 2,</w:t>
      </w:r>
      <w:r>
        <w:rPr>
          <w:i/>
        </w:rPr>
        <w:t xml:space="preserve"> support that:</w:t>
      </w:r>
    </w:p>
    <w:p>
      <w:pPr>
        <w:numPr>
          <w:ilvl w:val="0"/>
          <w:numId w:val="12"/>
        </w:numPr>
        <w:snapToGrid w:val="0"/>
        <w:spacing w:before="72" w:beforeLines="30" w:after="72" w:afterLines="30" w:line="288" w:lineRule="auto"/>
        <w:jc w:val="both"/>
        <w:rPr>
          <w:i/>
        </w:rPr>
      </w:pPr>
      <w:r>
        <w:rPr>
          <w:rFonts w:hint="eastAsia" w:eastAsia="宋体"/>
          <w:i/>
        </w:rPr>
        <w:t xml:space="preserve">The RS in the RS resource set can be updated by MAC-CE. </w:t>
      </w:r>
    </w:p>
    <w:p>
      <w:pPr>
        <w:numPr>
          <w:ilvl w:val="0"/>
          <w:numId w:val="12"/>
        </w:numPr>
        <w:snapToGrid w:val="0"/>
        <w:spacing w:before="72" w:beforeLines="30" w:after="72" w:afterLines="30" w:line="288" w:lineRule="auto"/>
        <w:jc w:val="both"/>
        <w:rPr>
          <w:rFonts w:eastAsia="宋体"/>
        </w:rPr>
      </w:pPr>
      <w:r>
        <w:rPr>
          <w:rFonts w:hint="eastAsia" w:eastAsia="宋体"/>
          <w:i/>
          <w:iCs/>
        </w:rPr>
        <w:t xml:space="preserve">Each RS in the RS resource set should be associated with a configured TCI state which can be used </w:t>
      </w:r>
      <w:r>
        <w:rPr>
          <w:rFonts w:eastAsia="宋体"/>
          <w:i/>
          <w:iCs/>
        </w:rPr>
        <w:t>for updating</w:t>
      </w:r>
      <w:r>
        <w:rPr>
          <w:rFonts w:hint="eastAsia" w:eastAsia="宋体"/>
          <w:i/>
          <w:iCs/>
        </w:rPr>
        <w:t xml:space="preserve"> the indicated TCI state.</w:t>
      </w:r>
    </w:p>
    <w:p>
      <w:pPr>
        <w:pStyle w:val="99"/>
        <w:snapToGrid w:val="0"/>
        <w:spacing w:before="60" w:beforeLines="25" w:after="60" w:afterLines="25" w:line="300" w:lineRule="auto"/>
        <w:ind w:firstLine="0" w:firstLineChars="0"/>
        <w:jc w:val="both"/>
        <w:rPr>
          <w:szCs w:val="20"/>
        </w:rPr>
      </w:pPr>
      <w:r>
        <w:rPr>
          <w:rFonts w:hint="eastAsia" w:eastAsia="宋体"/>
          <w:b/>
          <w:bCs/>
          <w:szCs w:val="20"/>
          <w:u w:val="single"/>
        </w:rPr>
        <w:t>Measurement RS for the current beam</w:t>
      </w:r>
    </w:p>
    <w:p>
      <w:pPr>
        <w:widowControl w:val="0"/>
        <w:spacing w:before="72" w:beforeLines="30" w:after="72" w:afterLines="30" w:line="288" w:lineRule="auto"/>
        <w:jc w:val="both"/>
        <w:rPr>
          <w:rFonts w:eastAsia="宋体"/>
          <w:szCs w:val="20"/>
        </w:rPr>
      </w:pPr>
      <w:r>
        <w:rPr>
          <w:rFonts w:hint="eastAsia" w:eastAsia="宋体"/>
          <w:szCs w:val="20"/>
        </w:rPr>
        <w:t>With respect to the determination of measurement RS for the current beam when o</w:t>
      </w:r>
      <w:r>
        <w:rPr>
          <w:rFonts w:hint="eastAsia"/>
          <w:szCs w:val="20"/>
        </w:rPr>
        <w:t>nly one TRS is configured in the indicated TCI state</w:t>
      </w:r>
      <w:r>
        <w:rPr>
          <w:rFonts w:hint="eastAsia" w:eastAsia="宋体"/>
          <w:szCs w:val="20"/>
        </w:rPr>
        <w:t xml:space="preserve">, </w:t>
      </w:r>
      <w:r>
        <w:rPr>
          <w:rFonts w:eastAsia="宋体"/>
          <w:szCs w:val="20"/>
        </w:rPr>
        <w:t>it can be noted that</w:t>
      </w:r>
      <w:r>
        <w:rPr>
          <w:rFonts w:hint="eastAsia" w:eastAsia="宋体"/>
          <w:szCs w:val="20"/>
        </w:rPr>
        <w:t xml:space="preserve"> </w:t>
      </w:r>
      <w:r>
        <w:rPr>
          <w:rFonts w:eastAsia="宋体"/>
          <w:szCs w:val="20"/>
        </w:rPr>
        <w:t xml:space="preserve">any of </w:t>
      </w:r>
      <w:r>
        <w:rPr>
          <w:rFonts w:hint="eastAsia" w:eastAsia="宋体"/>
          <w:szCs w:val="20"/>
        </w:rPr>
        <w:t>options 1 to 3 involves substantial specification efforts while offering limited application scenarios. Hence, it is advisable for the gNB to avoid invalid/error configurations to enable Scheme-1 when only one TRS is configured in the indicated TCI state</w:t>
      </w:r>
      <w:r>
        <w:rPr>
          <w:rFonts w:eastAsia="宋体"/>
          <w:szCs w:val="20"/>
        </w:rPr>
        <w:t>, i.e., opton-4</w:t>
      </w:r>
      <w:r>
        <w:rPr>
          <w:rFonts w:hint="eastAsia" w:eastAsia="宋体"/>
          <w:szCs w:val="20"/>
        </w:rPr>
        <w:t>.</w:t>
      </w:r>
    </w:p>
    <w:p>
      <w:pPr>
        <w:pStyle w:val="111"/>
        <w:widowControl w:val="0"/>
        <w:spacing w:before="72" w:beforeLines="30" w:after="72" w:afterLines="30" w:line="288" w:lineRule="auto"/>
        <w:ind w:firstLine="0" w:firstLineChars="0"/>
        <w:jc w:val="both"/>
        <w:rPr>
          <w:rFonts w:eastAsia="宋体"/>
          <w:i/>
          <w:szCs w:val="20"/>
        </w:rPr>
      </w:pPr>
      <w:r>
        <w:rPr>
          <w:rFonts w:hint="eastAsia"/>
          <w:b/>
          <w:bCs/>
          <w:i/>
          <w:iCs/>
          <w:szCs w:val="20"/>
        </w:rPr>
        <w:t xml:space="preserve">Proposal </w:t>
      </w:r>
      <w:r>
        <w:rPr>
          <w:rFonts w:hint="eastAsia" w:eastAsia="宋体"/>
          <w:b/>
          <w:bCs/>
          <w:i/>
          <w:iCs/>
          <w:szCs w:val="20"/>
        </w:rPr>
        <w:t>2</w:t>
      </w:r>
      <w:r>
        <w:rPr>
          <w:rFonts w:hint="eastAsia"/>
          <w:b/>
          <w:bCs/>
          <w:i/>
          <w:iCs/>
          <w:szCs w:val="20"/>
        </w:rPr>
        <w:t xml:space="preserve">: </w:t>
      </w:r>
      <w:r>
        <w:rPr>
          <w:rFonts w:hint="eastAsia" w:eastAsia="宋体"/>
          <w:i/>
          <w:szCs w:val="20"/>
        </w:rPr>
        <w:t>Regarding RS measurement for the current beam for Event 2, support Option-4 for handling the case that only one TRS is configured in the indicated TCI state.</w:t>
      </w:r>
    </w:p>
    <w:p>
      <w:pPr>
        <w:numPr>
          <w:ilvl w:val="0"/>
          <w:numId w:val="12"/>
        </w:numPr>
        <w:snapToGrid w:val="0"/>
        <w:spacing w:before="72" w:beforeLines="30" w:after="72" w:afterLines="30" w:line="288" w:lineRule="auto"/>
        <w:jc w:val="both"/>
        <w:rPr>
          <w:rFonts w:eastAsia="宋体"/>
          <w:i/>
          <w:iCs/>
        </w:rPr>
      </w:pPr>
      <w:r>
        <w:rPr>
          <w:rFonts w:hint="eastAsia" w:eastAsia="宋体"/>
          <w:i/>
          <w:iCs/>
        </w:rPr>
        <w:t>In such case, UE does not expect to be configured to enable Scheme-1.</w:t>
      </w:r>
    </w:p>
    <w:p>
      <w:pPr>
        <w:widowControl w:val="0"/>
        <w:spacing w:before="72" w:beforeLines="30" w:after="72" w:afterLines="30" w:line="288" w:lineRule="auto"/>
        <w:jc w:val="both"/>
        <w:rPr>
          <w:rFonts w:eastAsia="宋体"/>
          <w:b/>
          <w:bCs/>
          <w:szCs w:val="20"/>
          <w:u w:val="single"/>
        </w:rPr>
      </w:pPr>
      <w:r>
        <w:rPr>
          <w:rFonts w:hint="eastAsia" w:eastAsia="宋体"/>
          <w:b/>
          <w:bCs/>
          <w:szCs w:val="20"/>
          <w:u w:val="single"/>
        </w:rPr>
        <w:t>Report format</w:t>
      </w:r>
    </w:p>
    <w:p>
      <w:pPr>
        <w:snapToGrid w:val="0"/>
        <w:spacing w:before="72" w:beforeLines="30" w:after="72" w:afterLines="30" w:line="288" w:lineRule="auto"/>
        <w:jc w:val="both"/>
        <w:rPr>
          <w:rFonts w:eastAsia="宋体"/>
        </w:rPr>
      </w:pPr>
      <w:r>
        <w:rPr>
          <w:rFonts w:hint="eastAsia" w:eastAsia="宋体"/>
        </w:rPr>
        <w:t>Fi</w:t>
      </w:r>
      <w:r>
        <w:rPr>
          <w:rFonts w:eastAsia="宋体"/>
        </w:rPr>
        <w:t>rst of all, we identify the benefit of having additional candidate value(s) of {5, 6, 7, 8} in Event 2 for updating</w:t>
      </w:r>
      <w:r>
        <w:rPr>
          <w:rFonts w:hint="eastAsia" w:eastAsia="宋体"/>
        </w:rPr>
        <w:t xml:space="preserve"> the</w:t>
      </w:r>
      <w:r>
        <w:rPr>
          <w:rFonts w:eastAsia="宋体"/>
        </w:rPr>
        <w:t xml:space="preserve"> activated TCI state</w:t>
      </w:r>
      <w:r>
        <w:rPr>
          <w:rFonts w:hint="eastAsia" w:eastAsia="宋体"/>
        </w:rPr>
        <w:t xml:space="preserve"> </w:t>
      </w:r>
      <w:r>
        <w:rPr>
          <w:rFonts w:eastAsia="宋体"/>
        </w:rPr>
        <w:t xml:space="preserve">to </w:t>
      </w:r>
      <w:r>
        <w:rPr>
          <w:rFonts w:hint="eastAsia" w:eastAsia="宋体"/>
        </w:rPr>
        <w:t>align with the number of activated TCI states</w:t>
      </w:r>
      <w:r>
        <w:rPr>
          <w:rFonts w:eastAsia="宋体"/>
        </w:rPr>
        <w:t xml:space="preserve"> (e.g., up to 8 activated TCI states). Then, a</w:t>
      </w:r>
      <w:r>
        <w:rPr>
          <w:rFonts w:hint="eastAsia" w:eastAsia="宋体"/>
        </w:rPr>
        <w:t xml:space="preserve">s analyzed in sub-section 2.2, Event-7 can be triggered to update the activated TCI states besides the M-th best one. For instance, when M is configured to be 1, all the activated TCI states may be updated by the reported new beams. It </w:t>
      </w:r>
      <w:r>
        <w:rPr>
          <w:rFonts w:eastAsia="宋体"/>
        </w:rPr>
        <w:t>was</w:t>
      </w:r>
      <w:r>
        <w:rPr>
          <w:rFonts w:hint="eastAsia" w:eastAsia="宋体"/>
        </w:rPr>
        <w:t xml:space="preserve"> agreed that Event-7 should reuse the same design as Event-2, thereby supporting additional candidate values of the number of reported RSs for Event-2 may be beneficial to have a unified design </w:t>
      </w:r>
      <w:r>
        <w:rPr>
          <w:rFonts w:eastAsia="宋体"/>
        </w:rPr>
        <w:t>between</w:t>
      </w:r>
      <w:r>
        <w:rPr>
          <w:rFonts w:hint="eastAsia" w:eastAsia="宋体"/>
        </w:rPr>
        <w:t xml:space="preserve"> Event-2 and Event-7. </w:t>
      </w:r>
    </w:p>
    <w:p>
      <w:pPr>
        <w:snapToGrid w:val="0"/>
        <w:spacing w:before="72" w:beforeLines="30" w:after="72" w:afterLines="30" w:line="288" w:lineRule="auto"/>
        <w:jc w:val="both"/>
        <w:rPr>
          <w:rFonts w:eastAsia="宋体"/>
          <w:i/>
          <w:iCs/>
        </w:rPr>
      </w:pPr>
      <w:r>
        <w:rPr>
          <w:rFonts w:hint="eastAsia" w:eastAsia="宋体"/>
          <w:b/>
          <w:bCs/>
          <w:i/>
          <w:iCs/>
        </w:rPr>
        <w:t>Proposal 3:</w:t>
      </w:r>
      <w:r>
        <w:rPr>
          <w:rFonts w:hint="eastAsia" w:eastAsia="宋体"/>
          <w:i/>
          <w:iCs/>
        </w:rPr>
        <w:t xml:space="preserve"> Regarding the number of reported RSs in report format depending on Event-2, support additional candidate value(s) of {5, 6, 7, 8}.</w:t>
      </w:r>
    </w:p>
    <w:p>
      <w:pPr>
        <w:snapToGrid w:val="0"/>
        <w:spacing w:before="72" w:beforeLines="30" w:after="72" w:afterLines="30" w:line="288" w:lineRule="auto"/>
        <w:jc w:val="both"/>
        <w:rPr>
          <w:rFonts w:eastAsia="宋体"/>
        </w:rPr>
      </w:pPr>
      <w:r>
        <w:rPr>
          <w:rFonts w:hint="eastAsia" w:eastAsia="宋体"/>
        </w:rPr>
        <w:t xml:space="preserve">In legacy, the differential RSRP value range </w:t>
      </w:r>
      <w:r>
        <w:rPr>
          <w:rFonts w:eastAsia="宋体"/>
        </w:rPr>
        <w:t xml:space="preserve">is </w:t>
      </w:r>
      <w:r>
        <w:rPr>
          <w:rFonts w:hint="eastAsia" w:eastAsia="宋体"/>
        </w:rPr>
        <w:t xml:space="preserve">from 0 dB to -30 dB and is quantized to a 4-bit value with 2 dB step size. It is </w:t>
      </w:r>
      <w:r>
        <w:rPr>
          <w:rFonts w:eastAsia="宋体"/>
        </w:rPr>
        <w:t>intuitive</w:t>
      </w:r>
      <w:r>
        <w:rPr>
          <w:rFonts w:hint="eastAsia" w:eastAsia="宋体"/>
        </w:rPr>
        <w:t xml:space="preserve"> to reuse the legacy differential RSRP </w:t>
      </w:r>
      <w:r>
        <w:rPr>
          <w:rFonts w:eastAsia="宋体"/>
        </w:rPr>
        <w:t>report format</w:t>
      </w:r>
      <w:r>
        <w:rPr>
          <w:rFonts w:hint="eastAsia" w:eastAsia="宋体"/>
        </w:rPr>
        <w:t xml:space="preserve">. Nevertheless, according to the condition of Event-2, the value range of differential RSRP at least </w:t>
      </w:r>
      <w:r>
        <w:rPr>
          <w:rFonts w:eastAsia="宋体"/>
        </w:rPr>
        <w:t xml:space="preserve">should </w:t>
      </w:r>
      <w:r>
        <w:rPr>
          <w:rFonts w:hint="eastAsia" w:eastAsia="宋体"/>
        </w:rPr>
        <w:t xml:space="preserve">include the maximum </w:t>
      </w:r>
      <w:r>
        <w:rPr>
          <w:rFonts w:eastAsia="宋体"/>
        </w:rPr>
        <w:t>value</w:t>
      </w:r>
      <w:r>
        <w:rPr>
          <w:rFonts w:hint="eastAsia" w:eastAsia="宋体"/>
        </w:rPr>
        <w:t xml:space="preserve"> of configured threshold</w:t>
      </w:r>
      <w:r>
        <w:rPr>
          <w:rFonts w:eastAsia="宋体"/>
        </w:rPr>
        <w:t xml:space="preserve"> for Event-2</w:t>
      </w:r>
      <w:r>
        <w:rPr>
          <w:rFonts w:hint="eastAsia" w:eastAsia="宋体"/>
        </w:rPr>
        <w:t>. In addition, since the reported RS may not satisfy the condition of Event-2, its quality can be lower than the current beam in some cases, which may result in a significant difference value range between the best RS and the worst one. Therefore, a smaller lower bound of the differential RSRP value range (i.e., &lt; -30 dB) may need to be considered.</w:t>
      </w:r>
    </w:p>
    <w:p>
      <w:pPr>
        <w:snapToGrid w:val="0"/>
        <w:spacing w:before="72" w:beforeLines="30" w:after="72" w:afterLines="30" w:line="288" w:lineRule="auto"/>
        <w:jc w:val="both"/>
        <w:rPr>
          <w:rFonts w:eastAsia="宋体"/>
          <w:i/>
          <w:iCs/>
        </w:rPr>
      </w:pPr>
      <w:r>
        <w:rPr>
          <w:rFonts w:hint="eastAsia" w:eastAsia="宋体"/>
          <w:b/>
          <w:bCs/>
          <w:i/>
          <w:iCs/>
        </w:rPr>
        <w:t xml:space="preserve">Proposal 4: </w:t>
      </w:r>
      <w:r>
        <w:rPr>
          <w:rFonts w:hint="eastAsia" w:eastAsia="宋体"/>
          <w:i/>
          <w:iCs/>
        </w:rPr>
        <w:t>Regarding differential L1-RSRP in report format depending on Event-2, support that the differential L1-RSRP is quantized to a 4-bit value with 2 dB step size as in legacy.</w:t>
      </w:r>
    </w:p>
    <w:p>
      <w:pPr>
        <w:pStyle w:val="111"/>
        <w:numPr>
          <w:ilvl w:val="0"/>
          <w:numId w:val="13"/>
        </w:numPr>
        <w:snapToGrid w:val="0"/>
        <w:spacing w:before="72" w:beforeLines="30" w:after="72" w:afterLines="30" w:line="288" w:lineRule="auto"/>
        <w:ind w:firstLineChars="0"/>
        <w:jc w:val="both"/>
        <w:rPr>
          <w:rFonts w:eastAsia="宋体"/>
          <w:i/>
          <w:iCs/>
        </w:rPr>
      </w:pPr>
      <w:r>
        <w:rPr>
          <w:rFonts w:eastAsia="宋体"/>
          <w:i/>
          <w:iCs/>
        </w:rPr>
        <w:t>FFS on the value range of differential L1-RSR</w:t>
      </w:r>
      <w:r>
        <w:rPr>
          <w:rFonts w:hint="eastAsia" w:eastAsia="宋体"/>
          <w:i/>
          <w:iCs/>
        </w:rPr>
        <w:t>P</w:t>
      </w:r>
      <w:r>
        <w:rPr>
          <w:rFonts w:eastAsia="宋体"/>
          <w:i/>
          <w:iCs/>
        </w:rPr>
        <w:t>.</w:t>
      </w:r>
    </w:p>
    <w:p>
      <w:pPr>
        <w:snapToGrid w:val="0"/>
        <w:spacing w:before="72" w:beforeLines="30" w:after="72" w:afterLines="30" w:line="288" w:lineRule="auto"/>
        <w:jc w:val="both"/>
        <w:rPr>
          <w:rFonts w:eastAsia="宋体"/>
          <w:szCs w:val="20"/>
        </w:rPr>
      </w:pPr>
      <w:r>
        <w:rPr>
          <w:rFonts w:hint="eastAsia" w:eastAsia="宋体"/>
          <w:szCs w:val="20"/>
        </w:rPr>
        <w:t>With regards to w</w:t>
      </w:r>
      <w:r>
        <w:rPr>
          <w:szCs w:val="20"/>
        </w:rPr>
        <w:t>hether/how to report additional indication of which CRI/SSBRI(s) satisfy the condition of Event-2</w:t>
      </w:r>
      <w:r>
        <w:rPr>
          <w:rFonts w:hint="eastAsia" w:eastAsia="宋体"/>
          <w:szCs w:val="20"/>
        </w:rPr>
        <w:t xml:space="preserve">, the following two </w:t>
      </w:r>
      <w:r>
        <w:rPr>
          <w:rFonts w:eastAsia="宋体"/>
          <w:szCs w:val="20"/>
        </w:rPr>
        <w:t>indications</w:t>
      </w:r>
      <w:r>
        <w:rPr>
          <w:rFonts w:hint="eastAsia" w:eastAsia="宋体"/>
          <w:szCs w:val="20"/>
        </w:rPr>
        <w:t xml:space="preserve"> need to be taken into consideration</w:t>
      </w:r>
      <w:r>
        <w:rPr>
          <w:rFonts w:eastAsia="宋体"/>
          <w:szCs w:val="20"/>
        </w:rPr>
        <w:t xml:space="preserve"> for the reported RS(s) for new beam</w:t>
      </w:r>
      <w:r>
        <w:rPr>
          <w:rFonts w:hint="eastAsia" w:eastAsia="宋体"/>
          <w:szCs w:val="20"/>
        </w:rPr>
        <w:t>:</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(1) Indication</w:t>
      </w:r>
      <w:r>
        <w:rPr>
          <w:rFonts w:eastAsia="宋体"/>
        </w:rPr>
        <w:t>-1 (beam quality indication):</w:t>
      </w:r>
      <w:r>
        <w:rPr>
          <w:rFonts w:hint="eastAsia" w:eastAsia="宋体"/>
        </w:rPr>
        <w:t xml:space="preserve"> </w:t>
      </w:r>
      <w:r>
        <w:rPr>
          <w:rFonts w:eastAsia="宋体"/>
        </w:rPr>
        <w:t>W</w:t>
      </w:r>
      <w:r>
        <w:rPr>
          <w:rFonts w:hint="eastAsia" w:eastAsia="宋体"/>
        </w:rPr>
        <w:t>hether quality of the reported RS (i.e., L1-RSRP) becomes a threshold value better than the current beam.</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rPr>
        <w:t xml:space="preserve">When always reporting the current beam is not enabled, the reported RSs may not include the current beam, </w:t>
      </w:r>
      <w:r>
        <w:rPr>
          <w:rFonts w:eastAsia="宋体"/>
        </w:rPr>
        <w:t xml:space="preserve">gNB needs to know which reported RS(s) for new beam has a threshold value better than </w:t>
      </w:r>
      <w:r>
        <w:rPr>
          <w:rFonts w:hint="eastAsia" w:eastAsia="宋体"/>
          <w:lang w:val="en-US" w:eastAsia="zh-CN"/>
        </w:rPr>
        <w:t xml:space="preserve">the </w:t>
      </w:r>
      <w:r>
        <w:rPr>
          <w:rFonts w:eastAsia="宋体"/>
        </w:rPr>
        <w:t>current beam. Otherwise, gNB has no idea on whether/how to utilize this kind of reported RS(s) for new beam</w:t>
      </w:r>
      <w:r>
        <w:rPr>
          <w:rFonts w:hint="eastAsia" w:eastAsia="宋体"/>
          <w:lang w:val="en-US" w:eastAsia="zh-CN"/>
        </w:rPr>
        <w:t xml:space="preserve"> or whether the reported RS(s) can be used to update TCI state(s).</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(2) Indication</w:t>
      </w:r>
      <w:r>
        <w:rPr>
          <w:rFonts w:eastAsia="宋体"/>
        </w:rPr>
        <w:t>-2 (event evaluation indication):</w:t>
      </w:r>
      <w:r>
        <w:rPr>
          <w:rFonts w:hint="eastAsia" w:eastAsia="宋体"/>
        </w:rPr>
        <w:t xml:space="preserve"> </w:t>
      </w:r>
      <w:r>
        <w:rPr>
          <w:rFonts w:eastAsia="宋体"/>
        </w:rPr>
        <w:t>W</w:t>
      </w:r>
      <w:r>
        <w:rPr>
          <w:rFonts w:hint="eastAsia" w:eastAsia="宋体"/>
        </w:rPr>
        <w:t>hether the number of Event-2 instance for the reported RS is greater than or equal to a configured number M</w:t>
      </w:r>
      <w:r>
        <w:rPr>
          <w:rFonts w:eastAsia="宋体"/>
        </w:rPr>
        <w:t xml:space="preserve"> within a time window</w:t>
      </w:r>
      <w:r>
        <w:rPr>
          <w:rFonts w:hint="eastAsia" w:eastAsia="宋体"/>
        </w:rPr>
        <w:t>.</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rPr>
        <w:t>In some cases, when the number of Event-2 instances for a reported RS is less than a configured number M</w:t>
      </w:r>
      <w:r>
        <w:rPr>
          <w:rFonts w:eastAsia="宋体"/>
        </w:rPr>
        <w:t xml:space="preserve"> within a time window</w:t>
      </w:r>
      <w:r>
        <w:rPr>
          <w:rFonts w:hint="eastAsia" w:eastAsia="宋体"/>
        </w:rPr>
        <w:t>, but the quality of the reported RS becomes a threshold value better than the current beam</w:t>
      </w:r>
      <w:r>
        <w:rPr>
          <w:rFonts w:hint="eastAsia"/>
          <w:szCs w:val="20"/>
        </w:rPr>
        <w:t xml:space="preserve">, the reported RS </w:t>
      </w:r>
      <w:r>
        <w:rPr>
          <w:szCs w:val="20"/>
        </w:rPr>
        <w:t>may</w:t>
      </w:r>
      <w:r>
        <w:rPr>
          <w:rFonts w:hint="eastAsia"/>
          <w:szCs w:val="20"/>
        </w:rPr>
        <w:t xml:space="preserve"> not be considered as a potential new beam</w:t>
      </w:r>
      <w:r>
        <w:rPr>
          <w:szCs w:val="20"/>
        </w:rPr>
        <w:t xml:space="preserve"> for updating the indicated TCI state</w:t>
      </w:r>
      <w:r>
        <w:rPr>
          <w:rFonts w:hint="eastAsia"/>
          <w:szCs w:val="20"/>
        </w:rPr>
        <w:t xml:space="preserve">. </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szCs w:val="20"/>
        </w:rPr>
        <w:t xml:space="preserve">Additionally, since the reporting triggering and the report format transmission can be independent, e.g., they are based on the measurement RS transmitted at different times respectively, a </w:t>
      </w:r>
      <w:r>
        <w:rPr>
          <w:rFonts w:eastAsia="宋体"/>
          <w:szCs w:val="20"/>
        </w:rPr>
        <w:t>valid</w:t>
      </w:r>
      <w:r>
        <w:rPr>
          <w:rFonts w:hint="eastAsia" w:eastAsia="宋体"/>
          <w:szCs w:val="20"/>
        </w:rPr>
        <w:t xml:space="preserve"> case can be that quality of the reported RS (i.e., L1-RSRP) does not become a threshold value better than the current beam, and the number of Event-2 instance for the reported RS is greater than or equal to a configured number M</w:t>
      </w:r>
      <w:r>
        <w:rPr>
          <w:rFonts w:eastAsia="宋体"/>
          <w:szCs w:val="20"/>
        </w:rPr>
        <w:t xml:space="preserve"> within a time window</w:t>
      </w:r>
      <w:r>
        <w:rPr>
          <w:rFonts w:hint="eastAsia" w:eastAsia="宋体"/>
          <w:szCs w:val="20"/>
        </w:rPr>
        <w:t xml:space="preserve">. In other words, it means that the reported RS satisfies the event condition prior to the report transmission, but does not satisfy the event condition at the time of report transmission.  </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szCs w:val="20"/>
        </w:rPr>
        <w:t>Thus, s</w:t>
      </w:r>
      <w:r>
        <w:rPr>
          <w:rFonts w:hint="eastAsia"/>
          <w:szCs w:val="20"/>
        </w:rPr>
        <w:t xml:space="preserve">uch indication is </w:t>
      </w:r>
      <w:r>
        <w:rPr>
          <w:rFonts w:eastAsia="宋体"/>
          <w:szCs w:val="20"/>
        </w:rPr>
        <w:t>critical</w:t>
      </w:r>
      <w:r>
        <w:rPr>
          <w:rFonts w:hint="eastAsia" w:eastAsia="宋体"/>
          <w:szCs w:val="20"/>
        </w:rPr>
        <w:t xml:space="preserve"> to </w:t>
      </w:r>
      <w:r>
        <w:rPr>
          <w:rFonts w:eastAsia="宋体"/>
          <w:szCs w:val="20"/>
        </w:rPr>
        <w:t xml:space="preserve">be provided to gNB to evaluate </w:t>
      </w:r>
      <w:r>
        <w:rPr>
          <w:rFonts w:hint="eastAsia" w:eastAsia="宋体"/>
          <w:szCs w:val="20"/>
        </w:rPr>
        <w:t xml:space="preserve">whether </w:t>
      </w:r>
      <w:r>
        <w:rPr>
          <w:rFonts w:eastAsia="宋体"/>
          <w:szCs w:val="20"/>
        </w:rPr>
        <w:t>the</w:t>
      </w:r>
      <w:r>
        <w:rPr>
          <w:rFonts w:hint="eastAsia" w:eastAsia="宋体"/>
          <w:szCs w:val="20"/>
        </w:rPr>
        <w:t xml:space="preserve"> reported RS</w:t>
      </w:r>
      <w:r>
        <w:rPr>
          <w:rFonts w:eastAsia="宋体"/>
          <w:szCs w:val="20"/>
        </w:rPr>
        <w:t>(s) for new beam</w:t>
      </w:r>
      <w:r>
        <w:rPr>
          <w:rFonts w:hint="eastAsia" w:eastAsia="宋体"/>
          <w:szCs w:val="20"/>
        </w:rPr>
        <w:t xml:space="preserve"> can be considered </w:t>
      </w:r>
      <w:r>
        <w:rPr>
          <w:rFonts w:eastAsia="宋体"/>
          <w:szCs w:val="20"/>
        </w:rPr>
        <w:t>for updating the indicated TCI state</w:t>
      </w:r>
      <w:r>
        <w:rPr>
          <w:rFonts w:hint="eastAsia"/>
          <w:szCs w:val="20"/>
        </w:rPr>
        <w:t xml:space="preserve">. </w:t>
      </w:r>
      <w:r>
        <w:rPr>
          <w:rFonts w:hint="eastAsia" w:eastAsia="宋体"/>
        </w:rPr>
        <w:t xml:space="preserve"> </w:t>
      </w:r>
    </w:p>
    <w:p>
      <w:pPr>
        <w:snapToGrid w:val="0"/>
        <w:spacing w:before="72" w:beforeLines="30" w:after="72" w:afterLines="30" w:line="288" w:lineRule="auto"/>
        <w:jc w:val="both"/>
        <w:rPr>
          <w:rFonts w:hint="eastAsia" w:eastAsia="宋体"/>
        </w:rPr>
      </w:pPr>
      <w:r>
        <w:rPr>
          <w:rFonts w:hint="eastAsia" w:eastAsia="宋体"/>
        </w:rPr>
        <w:t xml:space="preserve">Accordingly, the </w:t>
      </w:r>
      <w:r>
        <w:rPr>
          <w:rFonts w:eastAsia="宋体"/>
        </w:rPr>
        <w:t xml:space="preserve">two </w:t>
      </w:r>
      <w:r>
        <w:rPr>
          <w:rFonts w:hint="eastAsia" w:eastAsia="宋体"/>
        </w:rPr>
        <w:t>additional indication</w:t>
      </w:r>
      <w:r>
        <w:rPr>
          <w:rFonts w:eastAsia="宋体"/>
        </w:rPr>
        <w:t>s are concluded</w:t>
      </w:r>
      <w:r>
        <w:rPr>
          <w:rFonts w:hint="eastAsia" w:eastAsia="宋体"/>
        </w:rPr>
        <w:t xml:space="preserve"> as in Table 1.</w:t>
      </w:r>
    </w:p>
    <w:p>
      <w:pPr>
        <w:snapToGrid w:val="0"/>
        <w:spacing w:before="72" w:beforeLines="30" w:after="72" w:afterLines="30" w:line="288" w:lineRule="auto"/>
        <w:jc w:val="center"/>
        <w:rPr>
          <w:rFonts w:eastAsia="宋体"/>
          <w:szCs w:val="20"/>
        </w:rPr>
      </w:pPr>
      <w:r>
        <w:rPr>
          <w:rFonts w:hint="eastAsia" w:eastAsia="宋体"/>
          <w:b/>
          <w:bCs/>
          <w:szCs w:val="20"/>
        </w:rPr>
        <w:t>Table 1</w:t>
      </w:r>
      <w:r>
        <w:rPr>
          <w:rFonts w:hint="eastAsia" w:eastAsia="宋体"/>
          <w:szCs w:val="20"/>
        </w:rPr>
        <w:t xml:space="preserve"> Additional indication to identify a new beam among the reported RSs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33"/>
        <w:gridCol w:w="2102"/>
        <w:gridCol w:w="53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33" w:type="dxa"/>
            <w:vAlign w:val="center"/>
          </w:tcPr>
          <w:p>
            <w:pPr>
              <w:snapToGrid w:val="0"/>
              <w:spacing w:before="72" w:beforeLines="30" w:after="72" w:afterLines="30" w:line="288" w:lineRule="auto"/>
              <w:jc w:val="center"/>
              <w:rPr>
                <w:rFonts w:eastAsia="宋体"/>
                <w:b/>
                <w:szCs w:val="20"/>
              </w:rPr>
            </w:pPr>
            <w:r>
              <w:rPr>
                <w:rFonts w:eastAsia="宋体"/>
                <w:b/>
                <w:szCs w:val="20"/>
              </w:rPr>
              <w:t>Indication-1 (beam quality indication)</w:t>
            </w:r>
          </w:p>
        </w:tc>
        <w:tc>
          <w:tcPr>
            <w:tcW w:w="2102" w:type="dxa"/>
            <w:vAlign w:val="center"/>
          </w:tcPr>
          <w:p>
            <w:pPr>
              <w:snapToGrid w:val="0"/>
              <w:spacing w:before="72" w:beforeLines="30" w:after="72" w:afterLines="30" w:line="288" w:lineRule="auto"/>
              <w:jc w:val="center"/>
              <w:rPr>
                <w:rFonts w:eastAsia="宋体"/>
                <w:b/>
                <w:szCs w:val="20"/>
              </w:rPr>
            </w:pPr>
            <w:r>
              <w:rPr>
                <w:rFonts w:eastAsia="宋体"/>
                <w:b/>
                <w:szCs w:val="20"/>
              </w:rPr>
              <w:t>Indication-2 (event evaluation indication)</w:t>
            </w:r>
          </w:p>
        </w:tc>
        <w:tc>
          <w:tcPr>
            <w:tcW w:w="5315" w:type="dxa"/>
            <w:vAlign w:val="center"/>
          </w:tcPr>
          <w:p>
            <w:pPr>
              <w:snapToGrid w:val="0"/>
              <w:spacing w:before="72" w:beforeLines="30" w:after="72" w:afterLines="30" w:line="288" w:lineRule="auto"/>
              <w:jc w:val="center"/>
              <w:rPr>
                <w:rFonts w:eastAsia="宋体"/>
                <w:b/>
                <w:szCs w:val="20"/>
              </w:rPr>
            </w:pPr>
            <w:r>
              <w:rPr>
                <w:rFonts w:eastAsia="宋体"/>
                <w:b/>
                <w:szCs w:val="20"/>
              </w:rPr>
              <w:t>Status of the reported RS for new beam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33"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2102"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5315" w:type="dxa"/>
            <w:vAlign w:val="center"/>
          </w:tcPr>
          <w:p>
            <w:pPr>
              <w:pStyle w:val="111"/>
              <w:numPr>
                <w:ilvl w:val="0"/>
                <w:numId w:val="15"/>
              </w:numPr>
              <w:snapToGrid w:val="0"/>
              <w:spacing w:before="72" w:beforeLines="30" w:after="72" w:afterLines="30" w:line="288" w:lineRule="auto"/>
              <w:ind w:firstLineChars="0"/>
              <w:jc w:val="both"/>
              <w:rPr>
                <w:rFonts w:eastAsia="宋体"/>
              </w:rPr>
            </w:pPr>
            <w:r>
              <w:rPr>
                <w:rFonts w:hint="eastAsia" w:eastAsia="宋体"/>
              </w:rPr>
              <w:t xml:space="preserve">Quality of the reported RS </w:t>
            </w:r>
            <w:r>
              <w:rPr>
                <w:rFonts w:hint="eastAsia" w:eastAsia="宋体"/>
                <w:b/>
              </w:rPr>
              <w:t>becomes a threshold value better than</w:t>
            </w:r>
            <w:r>
              <w:rPr>
                <w:rFonts w:hint="eastAsia" w:eastAsia="宋体"/>
              </w:rPr>
              <w:t xml:space="preserve"> the current beam</w:t>
            </w:r>
          </w:p>
          <w:p>
            <w:pPr>
              <w:pStyle w:val="111"/>
              <w:numPr>
                <w:ilvl w:val="0"/>
                <w:numId w:val="15"/>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greater than or equal to</w:t>
            </w:r>
            <w:r>
              <w:rPr>
                <w:rFonts w:hint="eastAsia" w:eastAsia="宋体"/>
              </w:rPr>
              <w:t xml:space="preserve"> a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33"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2102"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5315" w:type="dxa"/>
            <w:vAlign w:val="center"/>
          </w:tcPr>
          <w:p>
            <w:pPr>
              <w:pStyle w:val="111"/>
              <w:numPr>
                <w:ilvl w:val="0"/>
                <w:numId w:val="16"/>
              </w:numPr>
              <w:snapToGrid w:val="0"/>
              <w:spacing w:before="72" w:beforeLines="30" w:after="72" w:afterLines="30" w:line="288" w:lineRule="auto"/>
              <w:ind w:firstLineChars="0"/>
              <w:jc w:val="both"/>
              <w:rPr>
                <w:rFonts w:eastAsia="宋体"/>
              </w:rPr>
            </w:pPr>
            <w:r>
              <w:rPr>
                <w:rFonts w:hint="eastAsia" w:eastAsia="宋体"/>
              </w:rPr>
              <w:t>Quality of the reported RS</w:t>
            </w:r>
            <w:r>
              <w:rPr>
                <w:rFonts w:eastAsia="宋体"/>
              </w:rPr>
              <w:t xml:space="preserve"> </w:t>
            </w:r>
            <w:r>
              <w:rPr>
                <w:rFonts w:hint="eastAsia" w:eastAsia="宋体"/>
                <w:b/>
              </w:rPr>
              <w:t xml:space="preserve">becomes a threshold value better than </w:t>
            </w:r>
            <w:r>
              <w:rPr>
                <w:rFonts w:hint="eastAsia" w:eastAsia="宋体"/>
              </w:rPr>
              <w:t>the current beam</w:t>
            </w:r>
          </w:p>
          <w:p>
            <w:pPr>
              <w:pStyle w:val="111"/>
              <w:numPr>
                <w:ilvl w:val="0"/>
                <w:numId w:val="16"/>
              </w:numPr>
              <w:snapToGrid w:val="0"/>
              <w:spacing w:before="72" w:beforeLines="30" w:after="72" w:afterLines="30" w:line="288" w:lineRule="auto"/>
              <w:ind w:firstLineChars="0"/>
              <w:jc w:val="both"/>
              <w:rPr>
                <w:rFonts w:eastAsia="宋体"/>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33"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2102" w:type="dxa"/>
            <w:vAlign w:val="center"/>
          </w:tcPr>
          <w:p>
            <w:pPr>
              <w:snapToGrid w:val="0"/>
              <w:spacing w:before="72" w:beforeLines="30" w:after="72" w:afterLines="30" w:line="288" w:lineRule="auto"/>
              <w:jc w:val="center"/>
              <w:rPr>
                <w:rFonts w:eastAsia="宋体"/>
                <w:szCs w:val="20"/>
              </w:rPr>
            </w:pPr>
            <w:r>
              <w:rPr>
                <w:rFonts w:eastAsia="宋体"/>
                <w:szCs w:val="20"/>
              </w:rPr>
              <w:t>Yes</w:t>
            </w:r>
          </w:p>
        </w:tc>
        <w:tc>
          <w:tcPr>
            <w:tcW w:w="5315" w:type="dxa"/>
            <w:vAlign w:val="center"/>
          </w:tcPr>
          <w:p>
            <w:pPr>
              <w:pStyle w:val="111"/>
              <w:numPr>
                <w:ilvl w:val="0"/>
                <w:numId w:val="17"/>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17"/>
              </w:numPr>
              <w:snapToGrid w:val="0"/>
              <w:spacing w:before="72" w:beforeLines="30" w:after="72" w:afterLines="30" w:line="288" w:lineRule="auto"/>
              <w:ind w:firstLineChars="0"/>
              <w:jc w:val="both"/>
              <w:rPr>
                <w:rFonts w:eastAsia="宋体"/>
                <w:szCs w:val="20"/>
              </w:rPr>
            </w:pPr>
            <w:r>
              <w:rPr>
                <w:rFonts w:eastAsia="宋体"/>
              </w:rPr>
              <w:t>Th</w:t>
            </w:r>
            <w:r>
              <w:rPr>
                <w:rFonts w:hint="eastAsia" w:eastAsia="宋体"/>
              </w:rPr>
              <w:t xml:space="preserve">e number of Event-2 instance for the reported RS </w:t>
            </w:r>
            <w:r>
              <w:rPr>
                <w:rFonts w:hint="eastAsia" w:eastAsia="宋体"/>
                <w:b/>
              </w:rPr>
              <w:t>is greater than or equal to a</w:t>
            </w:r>
            <w:r>
              <w:rPr>
                <w:rFonts w:hint="eastAsia" w:eastAsia="宋体"/>
              </w:rPr>
              <w:t xml:space="preserve"> configured number M</w:t>
            </w:r>
            <w:r>
              <w:rPr>
                <w:rFonts w:eastAsia="宋体"/>
              </w:rPr>
              <w:t xml:space="preserve"> within a time window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33"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2102" w:type="dxa"/>
            <w:vAlign w:val="center"/>
          </w:tcPr>
          <w:p>
            <w:pPr>
              <w:snapToGrid w:val="0"/>
              <w:spacing w:before="72" w:beforeLines="30" w:after="72" w:afterLines="30" w:line="288" w:lineRule="auto"/>
              <w:jc w:val="center"/>
              <w:rPr>
                <w:rFonts w:eastAsia="宋体"/>
                <w:szCs w:val="20"/>
              </w:rPr>
            </w:pPr>
            <w:r>
              <w:rPr>
                <w:rFonts w:eastAsia="宋体"/>
                <w:szCs w:val="20"/>
              </w:rPr>
              <w:t>No</w:t>
            </w:r>
          </w:p>
        </w:tc>
        <w:tc>
          <w:tcPr>
            <w:tcW w:w="5315" w:type="dxa"/>
            <w:vAlign w:val="center"/>
          </w:tcPr>
          <w:p>
            <w:pPr>
              <w:pStyle w:val="111"/>
              <w:numPr>
                <w:ilvl w:val="0"/>
                <w:numId w:val="18"/>
              </w:numPr>
              <w:snapToGrid w:val="0"/>
              <w:spacing w:before="72" w:beforeLines="30" w:after="72" w:afterLines="30" w:line="288" w:lineRule="auto"/>
              <w:ind w:firstLineChars="0"/>
              <w:jc w:val="both"/>
              <w:rPr>
                <w:rFonts w:eastAsia="宋体"/>
              </w:rPr>
            </w:pPr>
            <w:r>
              <w:rPr>
                <w:rFonts w:hint="eastAsia" w:eastAsia="宋体"/>
              </w:rPr>
              <w:t xml:space="preserve">Quality of the reported RS (i.e., L1-RSRP) </w:t>
            </w:r>
            <w:r>
              <w:rPr>
                <w:rFonts w:hint="eastAsia" w:eastAsia="宋体"/>
                <w:b/>
              </w:rPr>
              <w:t>does not become a threshold value better than</w:t>
            </w:r>
            <w:r>
              <w:rPr>
                <w:rFonts w:hint="eastAsia" w:eastAsia="宋体"/>
              </w:rPr>
              <w:t xml:space="preserve"> the current beam</w:t>
            </w:r>
          </w:p>
          <w:p>
            <w:pPr>
              <w:pStyle w:val="111"/>
              <w:numPr>
                <w:ilvl w:val="0"/>
                <w:numId w:val="18"/>
              </w:numPr>
              <w:snapToGrid w:val="0"/>
              <w:spacing w:before="72" w:beforeLines="30" w:after="72" w:afterLines="30" w:line="288" w:lineRule="auto"/>
              <w:ind w:firstLineChars="0"/>
              <w:jc w:val="both"/>
              <w:rPr>
                <w:rFonts w:eastAsia="宋体"/>
                <w:szCs w:val="20"/>
              </w:rPr>
            </w:pPr>
            <w:r>
              <w:rPr>
                <w:rFonts w:eastAsia="宋体"/>
              </w:rPr>
              <w:t>T</w:t>
            </w:r>
            <w:r>
              <w:rPr>
                <w:rFonts w:hint="eastAsia" w:eastAsia="宋体"/>
              </w:rPr>
              <w:t xml:space="preserve">he number of Event-2 instance for the reported RS </w:t>
            </w:r>
            <w:r>
              <w:rPr>
                <w:rFonts w:hint="eastAsia" w:eastAsia="宋体"/>
                <w:b/>
              </w:rPr>
              <w:t>is less than</w:t>
            </w:r>
            <w:r>
              <w:rPr>
                <w:rFonts w:hint="eastAsia" w:eastAsia="宋体"/>
              </w:rPr>
              <w:t xml:space="preserve"> a configured number M</w:t>
            </w:r>
            <w:r>
              <w:rPr>
                <w:rFonts w:eastAsia="宋体"/>
              </w:rPr>
              <w:t xml:space="preserve"> within a time window</w:t>
            </w:r>
          </w:p>
        </w:tc>
      </w:tr>
    </w:tbl>
    <w:p>
      <w:pPr>
        <w:snapToGrid w:val="0"/>
        <w:spacing w:before="72" w:beforeLines="30" w:after="72" w:afterLines="30" w:line="288" w:lineRule="auto"/>
        <w:jc w:val="both"/>
        <w:rPr>
          <w:i/>
          <w:iCs/>
        </w:rPr>
      </w:pPr>
      <w:r>
        <w:rPr>
          <w:rFonts w:hint="eastAsia" w:eastAsia="宋体"/>
          <w:b/>
          <w:bCs/>
          <w:i/>
          <w:iCs/>
        </w:rPr>
        <w:t xml:space="preserve">Proposal 5: </w:t>
      </w:r>
      <w:r>
        <w:rPr>
          <w:i/>
          <w:iCs/>
        </w:rPr>
        <w:t xml:space="preserve">On UE-initiated/event-driven beam reporting, regarding L1-RSRP report format Option-3 depending on Event-2, </w:t>
      </w:r>
      <w:r>
        <w:rPr>
          <w:rFonts w:hint="eastAsia" w:eastAsia="宋体"/>
          <w:i/>
          <w:iCs/>
        </w:rPr>
        <w:t>support to introduce the following two additional indications</w:t>
      </w:r>
      <w:r>
        <w:rPr>
          <w:rFonts w:eastAsia="宋体"/>
          <w:i/>
          <w:iCs/>
        </w:rPr>
        <w:t xml:space="preserve"> for the reported CRI/SSBRI(s):</w:t>
      </w:r>
    </w:p>
    <w:p>
      <w:pPr>
        <w:numPr>
          <w:ilvl w:val="0"/>
          <w:numId w:val="12"/>
        </w:numPr>
        <w:snapToGrid w:val="0"/>
        <w:spacing w:before="72" w:beforeLines="30" w:after="72" w:afterLines="30" w:line="288" w:lineRule="auto"/>
        <w:jc w:val="both"/>
        <w:rPr>
          <w:rFonts w:eastAsia="宋体"/>
          <w:i/>
        </w:rPr>
      </w:pPr>
      <w:r>
        <w:rPr>
          <w:rFonts w:hint="eastAsia" w:eastAsia="宋体"/>
          <w:i/>
        </w:rPr>
        <w:t>Indication</w:t>
      </w:r>
      <w:r>
        <w:rPr>
          <w:rFonts w:eastAsia="宋体"/>
          <w:i/>
        </w:rPr>
        <w:t>-1:</w:t>
      </w:r>
      <w:r>
        <w:rPr>
          <w:rFonts w:hint="eastAsia" w:eastAsia="宋体"/>
          <w:i/>
        </w:rPr>
        <w:t xml:space="preserve"> </w:t>
      </w:r>
      <w:r>
        <w:rPr>
          <w:rFonts w:eastAsia="宋体"/>
          <w:i/>
        </w:rPr>
        <w:t>W</w:t>
      </w:r>
      <w:r>
        <w:rPr>
          <w:rFonts w:hint="eastAsia" w:eastAsia="宋体"/>
          <w:i/>
        </w:rPr>
        <w:t>hether quality of the reported RS (i.e., L1-RSRP) becomes a threshold value better than the current beam.</w:t>
      </w:r>
    </w:p>
    <w:p>
      <w:pPr>
        <w:numPr>
          <w:ilvl w:val="1"/>
          <w:numId w:val="12"/>
        </w:numPr>
        <w:snapToGrid w:val="0"/>
        <w:spacing w:before="72" w:beforeLines="30" w:after="72" w:afterLines="30" w:line="288" w:lineRule="auto"/>
        <w:jc w:val="both"/>
        <w:rPr>
          <w:rFonts w:eastAsia="宋体"/>
          <w:i/>
        </w:rPr>
      </w:pPr>
      <w:r>
        <w:rPr>
          <w:rFonts w:eastAsia="宋体"/>
          <w:i/>
        </w:rPr>
        <w:t>I</w:t>
      </w:r>
      <w:r>
        <w:rPr>
          <w:rFonts w:hint="eastAsia" w:eastAsia="宋体"/>
          <w:i/>
        </w:rPr>
        <w:t>ndication</w:t>
      </w:r>
      <w:r>
        <w:rPr>
          <w:rFonts w:eastAsia="宋体"/>
          <w:i/>
        </w:rPr>
        <w:t>-1</w:t>
      </w:r>
      <w:r>
        <w:rPr>
          <w:rFonts w:hint="eastAsia" w:eastAsia="宋体"/>
          <w:i/>
        </w:rPr>
        <w:t xml:space="preserve"> </w:t>
      </w:r>
      <w:r>
        <w:rPr>
          <w:rFonts w:eastAsia="宋体"/>
          <w:i/>
        </w:rPr>
        <w:t>can be</w:t>
      </w:r>
      <w:r>
        <w:rPr>
          <w:rFonts w:hint="eastAsia" w:eastAsia="宋体"/>
          <w:i/>
        </w:rPr>
        <w:t xml:space="preserve"> absent when the current beam is enabled to be always reported.</w:t>
      </w:r>
    </w:p>
    <w:p>
      <w:pPr>
        <w:numPr>
          <w:ilvl w:val="0"/>
          <w:numId w:val="12"/>
        </w:numPr>
        <w:snapToGrid w:val="0"/>
        <w:spacing w:before="72" w:beforeLines="30" w:after="72" w:afterLines="30" w:line="288" w:lineRule="auto"/>
        <w:jc w:val="both"/>
        <w:rPr>
          <w:szCs w:val="20"/>
        </w:rPr>
      </w:pPr>
      <w:r>
        <w:rPr>
          <w:rFonts w:hint="eastAsia" w:eastAsia="宋体"/>
          <w:i/>
        </w:rPr>
        <w:t>Indication</w:t>
      </w:r>
      <w:r>
        <w:rPr>
          <w:rFonts w:eastAsia="宋体"/>
          <w:i/>
        </w:rPr>
        <w:t>-2:</w:t>
      </w:r>
      <w:r>
        <w:rPr>
          <w:rFonts w:hint="eastAsia" w:eastAsia="宋体"/>
          <w:i/>
        </w:rPr>
        <w:t xml:space="preserve"> Whether the number of Event-2 instance for the reported RS is greater than or equal to a configured number M.</w:t>
      </w:r>
    </w:p>
    <w:p>
      <w:pPr>
        <w:numPr>
          <w:ilvl w:val="1"/>
          <w:numId w:val="7"/>
        </w:numPr>
        <w:tabs>
          <w:tab w:val="clear" w:pos="576"/>
        </w:tabs>
        <w:snapToGrid w:val="0"/>
        <w:spacing w:before="240" w:beforeLines="100" w:after="120" w:afterLines="50" w:line="288" w:lineRule="auto"/>
        <w:jc w:val="both"/>
        <w:outlineLvl w:val="1"/>
        <w:rPr>
          <w:rFonts w:eastAsia="宋体"/>
          <w:szCs w:val="20"/>
        </w:rPr>
      </w:pPr>
      <w:r>
        <w:rPr>
          <w:rFonts w:hint="eastAsia" w:eastAsia="宋体"/>
          <w:b/>
          <w:bCs/>
          <w:sz w:val="24"/>
          <w:szCs w:val="24"/>
        </w:rPr>
        <w:t>Event-7&amp;Event-1</w:t>
      </w:r>
    </w:p>
    <w:p>
      <w:pPr>
        <w:pStyle w:val="99"/>
        <w:snapToGrid w:val="0"/>
        <w:spacing w:before="60" w:beforeLines="25" w:after="60" w:afterLines="25" w:line="300" w:lineRule="auto"/>
        <w:ind w:firstLine="0" w:firstLineChars="0"/>
        <w:jc w:val="both"/>
        <w:rPr>
          <w:rFonts w:eastAsia="宋体"/>
          <w:bCs/>
          <w:iCs/>
          <w:szCs w:val="21"/>
        </w:rPr>
      </w:pPr>
      <w:r>
        <w:rPr>
          <w:rFonts w:hint="eastAsia" w:eastAsia="宋体"/>
          <w:szCs w:val="20"/>
        </w:rPr>
        <w:t xml:space="preserve">In RAN1#118 meeting, the following working assumption on supporting multiple trigger events </w:t>
      </w:r>
      <w:r>
        <w:rPr>
          <w:rFonts w:eastAsia="宋体"/>
          <w:szCs w:val="20"/>
        </w:rPr>
        <w:t>besides</w:t>
      </w:r>
      <w:r>
        <w:rPr>
          <w:rFonts w:hint="eastAsia" w:eastAsia="宋体"/>
          <w:szCs w:val="20"/>
        </w:rPr>
        <w:t xml:space="preserve"> Event-2 was endorsed [2].</w:t>
      </w:r>
    </w:p>
    <w:tbl>
      <w:tblPr>
        <w:tblStyle w:val="24"/>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75" w:type="dxa"/>
          </w:tcPr>
          <w:p>
            <w:pPr>
              <w:adjustRightInd w:val="0"/>
              <w:snapToGrid w:val="0"/>
              <w:spacing w:before="72" w:beforeLines="30" w:after="72" w:afterLines="30" w:line="288" w:lineRule="auto"/>
              <w:rPr>
                <w:rFonts w:eastAsia="宋体"/>
                <w:b/>
                <w:bCs/>
                <w:iCs/>
                <w:color w:val="000000"/>
                <w:szCs w:val="20"/>
                <w:highlight w:val="darkYellow"/>
              </w:rPr>
            </w:pPr>
            <w:r>
              <w:rPr>
                <w:rFonts w:eastAsia="宋体"/>
                <w:b/>
                <w:bCs/>
                <w:iCs/>
                <w:color w:val="000000"/>
                <w:szCs w:val="20"/>
                <w:highlight w:val="darkYellow"/>
              </w:rPr>
              <w:t>Working Assumption</w:t>
            </w:r>
          </w:p>
          <w:p>
            <w:pPr>
              <w:adjustRightInd w:val="0"/>
              <w:snapToGrid w:val="0"/>
              <w:spacing w:before="72" w:beforeLines="30" w:after="72" w:afterLines="30" w:line="288" w:lineRule="auto"/>
              <w:jc w:val="both"/>
              <w:rPr>
                <w:color w:val="000000"/>
                <w:szCs w:val="20"/>
              </w:rPr>
            </w:pPr>
            <w:r>
              <w:rPr>
                <w:szCs w:val="20"/>
              </w:rPr>
              <w:t>On UE-initiated/event-driven beam reporting, regarding</w:t>
            </w:r>
            <w:r>
              <w:rPr>
                <w:color w:val="000000"/>
                <w:szCs w:val="20"/>
              </w:rPr>
              <w:t xml:space="preserve"> trigger events, besides for Event-2, </w:t>
            </w:r>
            <w:r>
              <w:rPr>
                <w:rFonts w:eastAsia="Malgun Gothic"/>
                <w:szCs w:val="20"/>
              </w:rPr>
              <w:t xml:space="preserve">Event-1 and Event-7 are </w:t>
            </w:r>
            <w:r>
              <w:rPr>
                <w:color w:val="000000"/>
                <w:szCs w:val="20"/>
              </w:rPr>
              <w:t>both</w:t>
            </w:r>
            <w:r>
              <w:rPr>
                <w:rFonts w:eastAsia="Malgun Gothic"/>
                <w:szCs w:val="20"/>
              </w:rPr>
              <w:t xml:space="preserve"> supported.</w:t>
            </w:r>
          </w:p>
          <w:p>
            <w:pPr>
              <w:numPr>
                <w:ilvl w:val="0"/>
                <w:numId w:val="19"/>
              </w:numPr>
              <w:adjustRightInd w:val="0"/>
              <w:snapToGrid w:val="0"/>
              <w:spacing w:before="72" w:beforeLines="30" w:after="72" w:afterLines="30" w:line="288" w:lineRule="auto"/>
              <w:ind w:left="386" w:hanging="284"/>
              <w:jc w:val="both"/>
              <w:rPr>
                <w:szCs w:val="20"/>
              </w:rPr>
            </w:pPr>
            <w:r>
              <w:rPr>
                <w:szCs w:val="20"/>
              </w:rPr>
              <w:t>Event-1: Quality of the current beam is worse than a certain threshold.</w:t>
            </w:r>
          </w:p>
          <w:p>
            <w:pPr>
              <w:numPr>
                <w:ilvl w:val="0"/>
                <w:numId w:val="19"/>
              </w:numPr>
              <w:adjustRightInd w:val="0"/>
              <w:snapToGrid w:val="0"/>
              <w:spacing w:before="72" w:beforeLines="30" w:after="72" w:afterLines="30" w:line="288" w:lineRule="auto"/>
              <w:ind w:left="386" w:hanging="284"/>
              <w:jc w:val="both"/>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with the M-th best quality.</w:t>
            </w:r>
          </w:p>
          <w:p>
            <w:pPr>
              <w:numPr>
                <w:ilvl w:val="1"/>
                <w:numId w:val="19"/>
              </w:numPr>
              <w:adjustRightInd w:val="0"/>
              <w:snapToGrid w:val="0"/>
              <w:spacing w:before="72" w:beforeLines="30" w:after="72" w:afterLines="30" w:line="288" w:lineRule="auto"/>
              <w:jc w:val="both"/>
              <w:rPr>
                <w:szCs w:val="20"/>
              </w:rPr>
            </w:pPr>
            <w:r>
              <w:rPr>
                <w:szCs w:val="20"/>
              </w:rPr>
              <w:t>M is RRC configured with subjective to UE capability signalling</w:t>
            </w:r>
          </w:p>
          <w:p>
            <w:pPr>
              <w:numPr>
                <w:ilvl w:val="2"/>
                <w:numId w:val="19"/>
              </w:numPr>
              <w:adjustRightInd w:val="0"/>
              <w:snapToGrid w:val="0"/>
              <w:spacing w:before="72" w:beforeLines="30" w:after="72" w:afterLines="30" w:line="288" w:lineRule="auto"/>
              <w:jc w:val="both"/>
              <w:rPr>
                <w:szCs w:val="20"/>
              </w:rPr>
            </w:pPr>
            <w:r>
              <w:rPr>
                <w:szCs w:val="20"/>
              </w:rPr>
              <w:t xml:space="preserve">UE may only indicate a single candidate value or not support Event-7. </w:t>
            </w:r>
          </w:p>
          <w:p>
            <w:pPr>
              <w:numPr>
                <w:ilvl w:val="0"/>
                <w:numId w:val="19"/>
              </w:numPr>
              <w:adjustRightInd w:val="0"/>
              <w:snapToGrid w:val="0"/>
              <w:spacing w:before="72" w:beforeLines="30" w:after="72" w:afterLines="30" w:line="288" w:lineRule="auto"/>
              <w:ind w:left="386" w:hanging="284"/>
              <w:jc w:val="both"/>
              <w:rPr>
                <w:szCs w:val="20"/>
              </w:rPr>
            </w:pPr>
            <w:r>
              <w:rPr>
                <w:szCs w:val="20"/>
              </w:rPr>
              <w:t>The additionally supported events will reuse the same design as event 2 – unless there is consensus to do otherwise</w:t>
            </w:r>
          </w:p>
          <w:p>
            <w:pPr>
              <w:numPr>
                <w:ilvl w:val="0"/>
                <w:numId w:val="19"/>
              </w:numPr>
              <w:adjustRightInd w:val="0"/>
              <w:snapToGrid w:val="0"/>
              <w:spacing w:before="72" w:beforeLines="30" w:after="72" w:afterLines="30" w:line="288" w:lineRule="auto"/>
              <w:ind w:left="386" w:hanging="284"/>
              <w:jc w:val="both"/>
              <w:rPr>
                <w:rFonts w:eastAsia="宋体"/>
                <w:szCs w:val="20"/>
              </w:rPr>
            </w:pPr>
            <w:r>
              <w:rPr>
                <w:szCs w:val="20"/>
              </w:rPr>
              <w:t>The additionally supported events will be lower priority compared to event 2.</w:t>
            </w:r>
          </w:p>
        </w:tc>
      </w:tr>
    </w:tbl>
    <w:p>
      <w:pPr>
        <w:adjustRightInd w:val="0"/>
        <w:snapToGrid w:val="0"/>
        <w:spacing w:before="72" w:beforeLines="30" w:after="72" w:afterLines="30" w:line="288" w:lineRule="auto"/>
        <w:jc w:val="both"/>
        <w:rPr>
          <w:color w:val="000000"/>
          <w:szCs w:val="20"/>
        </w:rPr>
      </w:pPr>
      <w:r>
        <w:rPr>
          <w:rFonts w:eastAsia="宋体"/>
          <w:szCs w:val="20"/>
        </w:rPr>
        <w:t xml:space="preserve">Given that </w:t>
      </w:r>
      <w:r>
        <w:rPr>
          <w:rFonts w:hint="eastAsia" w:eastAsia="宋体"/>
          <w:szCs w:val="20"/>
        </w:rPr>
        <w:t xml:space="preserve">Event-1, Event-2 and Event-7 have their own </w:t>
      </w:r>
      <w:r>
        <w:rPr>
          <w:rFonts w:eastAsia="宋体"/>
          <w:szCs w:val="20"/>
        </w:rPr>
        <w:t xml:space="preserve">benefits under different </w:t>
      </w:r>
      <w:r>
        <w:rPr>
          <w:rFonts w:hint="eastAsia" w:eastAsia="宋体"/>
          <w:szCs w:val="20"/>
        </w:rPr>
        <w:t>scenario</w:t>
      </w:r>
      <w:r>
        <w:rPr>
          <w:rFonts w:eastAsia="宋体"/>
          <w:szCs w:val="20"/>
        </w:rPr>
        <w:t>s</w:t>
      </w:r>
      <w:r>
        <w:rPr>
          <w:rFonts w:hint="eastAsia" w:eastAsia="宋体"/>
          <w:szCs w:val="20"/>
        </w:rPr>
        <w:t xml:space="preserve">, </w:t>
      </w:r>
      <w:r>
        <w:rPr>
          <w:rFonts w:eastAsia="宋体"/>
          <w:szCs w:val="20"/>
        </w:rPr>
        <w:t>hence</w:t>
      </w:r>
      <w:r>
        <w:rPr>
          <w:rFonts w:hint="eastAsia" w:eastAsia="宋体"/>
          <w:szCs w:val="20"/>
        </w:rPr>
        <w:t xml:space="preserve"> the working assumption </w:t>
      </w:r>
      <w:r>
        <w:rPr>
          <w:rFonts w:eastAsia="宋体"/>
          <w:szCs w:val="20"/>
        </w:rPr>
        <w:t>can</w:t>
      </w:r>
      <w:r>
        <w:rPr>
          <w:rFonts w:hint="eastAsia" w:eastAsia="宋体"/>
          <w:szCs w:val="20"/>
        </w:rPr>
        <w:t xml:space="preserve"> be confirmed</w:t>
      </w:r>
      <w:r>
        <w:rPr>
          <w:rFonts w:eastAsia="Malgun Gothic"/>
          <w:szCs w:val="20"/>
        </w:rPr>
        <w:t>.</w:t>
      </w:r>
    </w:p>
    <w:p>
      <w:pPr>
        <w:pStyle w:val="99"/>
        <w:snapToGrid w:val="0"/>
        <w:spacing w:before="60" w:beforeLines="25" w:after="60" w:afterLines="25" w:line="300" w:lineRule="auto"/>
        <w:ind w:firstLine="0" w:firstLineChars="0"/>
        <w:jc w:val="both"/>
        <w:rPr>
          <w:rFonts w:eastAsia="宋体"/>
          <w:i/>
          <w:iCs/>
        </w:rPr>
      </w:pPr>
      <w:r>
        <w:rPr>
          <w:rFonts w:hint="eastAsia" w:eastAsia="宋体"/>
          <w:b/>
          <w:bCs/>
          <w:i/>
          <w:iCs/>
        </w:rPr>
        <w:t>Proposal 5:</w:t>
      </w:r>
      <w:r>
        <w:rPr>
          <w:rFonts w:hint="eastAsia" w:eastAsia="宋体"/>
          <w:i/>
          <w:iCs/>
        </w:rPr>
        <w:t xml:space="preserve"> Confirm the working assumption on supporting UE-initiated/event-driven beam reporting based on Event-1 and Event-7.</w:t>
      </w:r>
    </w:p>
    <w:p>
      <w:pPr>
        <w:pStyle w:val="99"/>
        <w:snapToGrid w:val="0"/>
        <w:spacing w:before="60" w:beforeLines="25" w:after="60" w:afterLines="25" w:line="300" w:lineRule="auto"/>
        <w:ind w:firstLine="0" w:firstLineChars="0"/>
        <w:jc w:val="both"/>
        <w:rPr>
          <w:rFonts w:eastAsia="宋体"/>
        </w:rPr>
      </w:pPr>
      <w:r>
        <w:rPr>
          <w:rFonts w:hint="eastAsia" w:eastAsia="宋体"/>
        </w:rPr>
        <w:t xml:space="preserve">As listed in Table 2, </w:t>
      </w:r>
      <w:r>
        <w:rPr>
          <w:rFonts w:eastAsia="宋体"/>
        </w:rPr>
        <w:t>it can be noted that</w:t>
      </w:r>
      <w:r>
        <w:rPr>
          <w:rFonts w:hint="eastAsia" w:eastAsia="宋体"/>
        </w:rPr>
        <w:t xml:space="preserve"> the determination of measurement RS for the current beam in Event-1, the determination of measurement RS for new beams in Event-7 and the counter based triggering procedure</w:t>
      </w:r>
      <w:r>
        <w:rPr>
          <w:rFonts w:eastAsia="宋体"/>
        </w:rPr>
        <w:t xml:space="preserve"> with respect to</w:t>
      </w:r>
      <w:r>
        <w:rPr>
          <w:rFonts w:hint="eastAsia" w:eastAsia="宋体"/>
        </w:rPr>
        <w:t xml:space="preserve"> the same design as Event-2 can be </w:t>
      </w:r>
      <w:r>
        <w:rPr>
          <w:rFonts w:hint="eastAsia" w:eastAsia="宋体"/>
          <w:lang w:val="en-US" w:eastAsia="zh-CN"/>
        </w:rPr>
        <w:t xml:space="preserve">directly </w:t>
      </w:r>
      <w:r>
        <w:rPr>
          <w:rFonts w:hint="eastAsia" w:eastAsia="宋体"/>
        </w:rPr>
        <w:t>reused</w:t>
      </w:r>
      <w:r>
        <w:rPr>
          <w:rFonts w:eastAsia="宋体"/>
        </w:rPr>
        <w:t xml:space="preserve"> in principle</w:t>
      </w:r>
      <w:r>
        <w:rPr>
          <w:rFonts w:hint="eastAsia" w:eastAsia="宋体"/>
        </w:rPr>
        <w:t>.</w:t>
      </w:r>
    </w:p>
    <w:p>
      <w:pPr>
        <w:pStyle w:val="99"/>
        <w:snapToGrid w:val="0"/>
        <w:spacing w:before="60" w:beforeLines="25" w:after="60" w:afterLines="25" w:line="300" w:lineRule="auto"/>
        <w:ind w:firstLine="0" w:firstLineChars="0"/>
        <w:jc w:val="center"/>
        <w:rPr>
          <w:rFonts w:eastAsia="宋体"/>
        </w:rPr>
      </w:pPr>
      <w:r>
        <w:rPr>
          <w:rFonts w:hint="eastAsia" w:eastAsia="宋体"/>
          <w:b/>
          <w:bCs/>
        </w:rPr>
        <w:t>Table 2</w:t>
      </w:r>
      <w:r>
        <w:rPr>
          <w:rFonts w:hint="eastAsia" w:eastAsia="宋体"/>
        </w:rPr>
        <w:t xml:space="preserve"> Unified design of </w:t>
      </w:r>
      <w:r>
        <w:rPr>
          <w:szCs w:val="20"/>
        </w:rPr>
        <w:t>UE-initiated/event-driven beam reporting</w:t>
      </w:r>
      <w:r>
        <w:rPr>
          <w:rFonts w:hint="eastAsia" w:eastAsia="宋体"/>
          <w:szCs w:val="20"/>
        </w:rPr>
        <w:t xml:space="preserve"> </w:t>
      </w:r>
      <w:r>
        <w:rPr>
          <w:rFonts w:eastAsia="宋体"/>
          <w:szCs w:val="20"/>
        </w:rPr>
        <w:t>among</w:t>
      </w:r>
      <w:r>
        <w:rPr>
          <w:rFonts w:hint="eastAsia" w:eastAsia="宋体"/>
          <w:szCs w:val="20"/>
        </w:rPr>
        <w:t xml:space="preserve"> different trigger events</w:t>
      </w:r>
    </w:p>
    <w:tbl>
      <w:tblPr>
        <w:tblStyle w:val="24"/>
        <w:tblW w:w="9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2161"/>
        <w:gridCol w:w="2099"/>
        <w:gridCol w:w="2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72" w:beforeLines="30" w:after="72" w:afterLines="30" w:line="288" w:lineRule="auto"/>
              <w:jc w:val="center"/>
              <w:rPr>
                <w:b/>
              </w:rPr>
            </w:pPr>
          </w:p>
        </w:tc>
        <w:tc>
          <w:tcPr>
            <w:tcW w:w="0" w:type="auto"/>
          </w:tcPr>
          <w:p>
            <w:pPr>
              <w:spacing w:before="72" w:beforeLines="30" w:after="72" w:afterLines="30" w:line="288" w:lineRule="auto"/>
              <w:jc w:val="center"/>
              <w:rPr>
                <w:rFonts w:eastAsia="宋体"/>
                <w:b/>
              </w:rPr>
            </w:pPr>
            <w:r>
              <w:rPr>
                <w:b/>
              </w:rPr>
              <w:t>Event-</w:t>
            </w:r>
            <w:r>
              <w:rPr>
                <w:rFonts w:hint="eastAsia" w:eastAsia="宋体"/>
                <w:b/>
              </w:rPr>
              <w:t>2</w:t>
            </w:r>
          </w:p>
        </w:tc>
        <w:tc>
          <w:tcPr>
            <w:tcW w:w="0" w:type="auto"/>
          </w:tcPr>
          <w:p>
            <w:pPr>
              <w:spacing w:before="72" w:beforeLines="30" w:after="72" w:afterLines="30" w:line="288" w:lineRule="auto"/>
              <w:jc w:val="center"/>
              <w:rPr>
                <w:b/>
              </w:rPr>
            </w:pPr>
            <w:r>
              <w:rPr>
                <w:b/>
              </w:rPr>
              <w:t>Event-1</w:t>
            </w:r>
          </w:p>
        </w:tc>
        <w:tc>
          <w:tcPr>
            <w:tcW w:w="0" w:type="auto"/>
          </w:tcPr>
          <w:p>
            <w:pPr>
              <w:spacing w:before="72" w:beforeLines="30" w:after="72" w:afterLines="30" w:line="288" w:lineRule="auto"/>
              <w:jc w:val="center"/>
              <w:rPr>
                <w:b/>
              </w:rPr>
            </w:pPr>
            <w:r>
              <w:rPr>
                <w:b/>
              </w:rPr>
              <w:t>Event-7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rFonts w:hint="eastAsia" w:eastAsia="宋体"/>
                <w:b/>
              </w:rPr>
              <w:t>C</w:t>
            </w:r>
            <w:r>
              <w:rPr>
                <w:b/>
              </w:rPr>
              <w:t>urrent beam</w:t>
            </w:r>
          </w:p>
        </w:tc>
        <w:tc>
          <w:tcPr>
            <w:tcW w:w="0" w:type="auto"/>
            <w:vAlign w:val="center"/>
          </w:tcPr>
          <w:p>
            <w:pPr>
              <w:spacing w:before="72" w:beforeLines="30" w:after="72" w:afterLines="30" w:line="288" w:lineRule="auto"/>
              <w:jc w:val="center"/>
            </w:pPr>
            <w:r>
              <w:t>The indicated TCI state</w:t>
            </w:r>
          </w:p>
        </w:tc>
        <w:tc>
          <w:tcPr>
            <w:tcW w:w="0" w:type="auto"/>
            <w:vAlign w:val="center"/>
          </w:tcPr>
          <w:p>
            <w:pPr>
              <w:spacing w:before="72" w:beforeLines="30" w:after="72" w:afterLines="30" w:line="288" w:lineRule="auto"/>
              <w:jc w:val="center"/>
            </w:pPr>
            <w:r>
              <w:t>The indicated TCI state</w:t>
            </w:r>
          </w:p>
        </w:tc>
        <w:tc>
          <w:tcPr>
            <w:tcW w:w="0" w:type="auto"/>
            <w:vAlign w:val="center"/>
          </w:tcPr>
          <w:p>
            <w:pPr>
              <w:spacing w:before="72" w:beforeLines="30" w:after="72" w:afterLines="30" w:line="288" w:lineRule="auto"/>
              <w:jc w:val="center"/>
            </w:pPr>
            <w:r>
              <w:t>The activated TCI state with M-th best quality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rFonts w:hint="eastAsia" w:eastAsia="宋体"/>
                <w:b/>
              </w:rPr>
              <w:t>N</w:t>
            </w:r>
            <w:r>
              <w:rPr>
                <w:b/>
              </w:rPr>
              <w:t>ew beam(s)</w:t>
            </w:r>
          </w:p>
        </w:tc>
        <w:tc>
          <w:tcPr>
            <w:tcW w:w="0" w:type="auto"/>
            <w:vAlign w:val="center"/>
          </w:tcPr>
          <w:p>
            <w:pPr>
              <w:spacing w:before="72" w:beforeLines="30" w:after="72" w:afterLines="30" w:line="288" w:lineRule="auto"/>
              <w:jc w:val="center"/>
              <w:rPr>
                <w:rFonts w:eastAsia="宋体"/>
              </w:rPr>
            </w:pPr>
            <w:r>
              <w:rPr>
                <w:rFonts w:hint="eastAsia" w:eastAsia="宋体"/>
              </w:rPr>
              <w:t>Explicitly configured. (</w:t>
            </w:r>
            <w:r>
              <w:t>Option-3a</w:t>
            </w:r>
            <w:r>
              <w:rPr>
                <w:rFonts w:hint="eastAsia" w:eastAsia="宋体"/>
              </w:rPr>
              <w:t>)</w:t>
            </w:r>
          </w:p>
        </w:tc>
        <w:tc>
          <w:tcPr>
            <w:tcW w:w="0" w:type="auto"/>
            <w:vAlign w:val="center"/>
          </w:tcPr>
          <w:p>
            <w:pPr>
              <w:spacing w:before="72" w:beforeLines="30" w:after="72" w:afterLines="30" w:line="288" w:lineRule="auto"/>
              <w:jc w:val="center"/>
              <w:rPr>
                <w:rFonts w:eastAsia="宋体"/>
              </w:rPr>
            </w:pPr>
            <w:r>
              <w:rPr>
                <w:rFonts w:eastAsia="宋体"/>
              </w:rPr>
              <w:t>N/A</w:t>
            </w:r>
          </w:p>
        </w:tc>
        <w:tc>
          <w:tcPr>
            <w:tcW w:w="0" w:type="auto"/>
            <w:vAlign w:val="center"/>
          </w:tcPr>
          <w:p>
            <w:pPr>
              <w:spacing w:before="72" w:beforeLines="30" w:after="72" w:afterLines="30" w:line="288" w:lineRule="auto"/>
              <w:jc w:val="center"/>
            </w:pPr>
            <w:r>
              <w:t>Option-3a for Event-2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b/>
              </w:rPr>
              <w:t>Measurement</w:t>
            </w:r>
          </w:p>
          <w:p>
            <w:pPr>
              <w:spacing w:before="72" w:beforeLines="30" w:after="72" w:afterLines="30" w:line="288" w:lineRule="auto"/>
              <w:jc w:val="center"/>
              <w:rPr>
                <w:b/>
              </w:rPr>
            </w:pPr>
            <w:r>
              <w:rPr>
                <w:b/>
              </w:rPr>
              <w:t>quality metrics</w:t>
            </w:r>
          </w:p>
        </w:tc>
        <w:tc>
          <w:tcPr>
            <w:tcW w:w="0" w:type="auto"/>
            <w:vAlign w:val="center"/>
          </w:tcPr>
          <w:p>
            <w:pPr>
              <w:spacing w:before="72" w:beforeLines="30" w:after="72" w:afterLines="30" w:line="288" w:lineRule="auto"/>
              <w:jc w:val="center"/>
            </w:pPr>
            <w:r>
              <w:t>L1-RSRP</w:t>
            </w:r>
          </w:p>
        </w:tc>
        <w:tc>
          <w:tcPr>
            <w:tcW w:w="0" w:type="auto"/>
            <w:vAlign w:val="center"/>
          </w:tcPr>
          <w:p>
            <w:pPr>
              <w:spacing w:before="72" w:beforeLines="30" w:after="72" w:afterLines="30" w:line="288" w:lineRule="auto"/>
              <w:jc w:val="center"/>
            </w:pPr>
            <w:r>
              <w:t>L1-RSRP</w:t>
            </w:r>
          </w:p>
        </w:tc>
        <w:tc>
          <w:tcPr>
            <w:tcW w:w="0" w:type="auto"/>
            <w:vAlign w:val="center"/>
          </w:tcPr>
          <w:p>
            <w:pPr>
              <w:spacing w:before="72" w:beforeLines="30" w:after="72" w:afterLines="30" w:line="288" w:lineRule="auto"/>
              <w:jc w:val="center"/>
            </w:pPr>
            <w:r>
              <w:t>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b/>
              </w:rPr>
              <w:t>Measurement RS</w:t>
            </w:r>
          </w:p>
          <w:p>
            <w:pPr>
              <w:spacing w:before="72" w:beforeLines="30" w:after="72" w:afterLines="30" w:line="288" w:lineRule="auto"/>
              <w:jc w:val="center"/>
              <w:rPr>
                <w:b/>
              </w:rPr>
            </w:pPr>
            <w:r>
              <w:rPr>
                <w:b/>
              </w:rPr>
              <w:t>for current beam</w:t>
            </w:r>
          </w:p>
        </w:tc>
        <w:tc>
          <w:tcPr>
            <w:tcW w:w="0" w:type="auto"/>
            <w:vAlign w:val="center"/>
          </w:tcPr>
          <w:p>
            <w:pPr>
              <w:spacing w:before="72" w:beforeLines="30" w:after="72" w:afterLines="30" w:line="288" w:lineRule="auto"/>
              <w:jc w:val="center"/>
            </w:pPr>
            <w:r>
              <w:t>Scheme-1, Scheme-2</w:t>
            </w:r>
          </w:p>
        </w:tc>
        <w:tc>
          <w:tcPr>
            <w:tcW w:w="0" w:type="auto"/>
            <w:vAlign w:val="center"/>
          </w:tcPr>
          <w:p>
            <w:pPr>
              <w:spacing w:before="72" w:beforeLines="30" w:after="72" w:afterLines="30" w:line="288" w:lineRule="auto"/>
              <w:jc w:val="center"/>
            </w:pPr>
            <w:r>
              <w:t>Scheme-1, Scheme-2</w:t>
            </w:r>
          </w:p>
        </w:tc>
        <w:tc>
          <w:tcPr>
            <w:tcW w:w="0" w:type="auto"/>
            <w:vAlign w:val="center"/>
          </w:tcPr>
          <w:p>
            <w:pPr>
              <w:spacing w:before="72" w:beforeLines="30" w:after="72" w:afterLines="30" w:line="288" w:lineRule="auto"/>
              <w:jc w:val="center"/>
            </w:pPr>
            <w:r>
              <w:t>Scheme-1, Scheme-2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b/>
              </w:rPr>
              <w:t>Measurement RS</w:t>
            </w:r>
          </w:p>
          <w:p>
            <w:pPr>
              <w:spacing w:before="72" w:beforeLines="30" w:after="72" w:afterLines="30" w:line="288" w:lineRule="auto"/>
              <w:jc w:val="center"/>
              <w:rPr>
                <w:b/>
              </w:rPr>
            </w:pPr>
            <w:r>
              <w:rPr>
                <w:b/>
              </w:rPr>
              <w:t>for new beam(s)</w:t>
            </w:r>
          </w:p>
        </w:tc>
        <w:tc>
          <w:tcPr>
            <w:tcW w:w="0" w:type="auto"/>
            <w:vAlign w:val="center"/>
          </w:tcPr>
          <w:p>
            <w:pPr>
              <w:spacing w:before="72" w:beforeLines="30" w:after="72" w:afterLines="30" w:line="288" w:lineRule="auto"/>
              <w:jc w:val="center"/>
              <w:rPr>
                <w:rFonts w:eastAsia="宋体"/>
              </w:rPr>
            </w:pPr>
            <w:r>
              <w:rPr>
                <w:rFonts w:hint="eastAsia" w:eastAsia="宋体"/>
                <w:color w:val="000000"/>
                <w:szCs w:val="20"/>
              </w:rPr>
              <w:t>E</w:t>
            </w:r>
            <w:r>
              <w:rPr>
                <w:rFonts w:eastAsia="宋体"/>
                <w:color w:val="000000"/>
                <w:szCs w:val="20"/>
              </w:rPr>
              <w:t>xplicitly configured in one RS resource set associated with an CSI reporting configuration</w:t>
            </w:r>
            <w:r>
              <w:rPr>
                <w:rFonts w:hint="eastAsia" w:eastAsia="宋体"/>
                <w:color w:val="000000"/>
                <w:szCs w:val="20"/>
              </w:rPr>
              <w:t>. (Option-1)</w:t>
            </w:r>
          </w:p>
        </w:tc>
        <w:tc>
          <w:tcPr>
            <w:tcW w:w="0" w:type="auto"/>
            <w:vAlign w:val="center"/>
          </w:tcPr>
          <w:p>
            <w:pPr>
              <w:spacing w:before="72" w:beforeLines="30" w:after="72" w:afterLines="30" w:line="288" w:lineRule="auto"/>
              <w:jc w:val="center"/>
              <w:rPr>
                <w:rFonts w:eastAsia="宋体"/>
              </w:rPr>
            </w:pPr>
            <w:r>
              <w:rPr>
                <w:rFonts w:eastAsia="宋体"/>
              </w:rPr>
              <w:t>N/A</w:t>
            </w:r>
          </w:p>
        </w:tc>
        <w:tc>
          <w:tcPr>
            <w:tcW w:w="0" w:type="auto"/>
            <w:vAlign w:val="center"/>
          </w:tcPr>
          <w:p>
            <w:pPr>
              <w:spacing w:before="72" w:beforeLines="30" w:after="72" w:afterLines="30" w:line="288" w:lineRule="auto"/>
              <w:jc w:val="center"/>
            </w:pPr>
            <w:r>
              <w:t>Option-1 for Event-2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b/>
              </w:rPr>
            </w:pPr>
            <w:r>
              <w:rPr>
                <w:b/>
              </w:rPr>
              <w:t>Report content and format</w:t>
            </w:r>
          </w:p>
        </w:tc>
        <w:tc>
          <w:tcPr>
            <w:tcW w:w="0" w:type="auto"/>
            <w:vAlign w:val="center"/>
          </w:tcPr>
          <w:p>
            <w:pPr>
              <w:spacing w:before="72" w:beforeLines="30" w:after="72" w:afterLines="30" w:line="288" w:lineRule="auto"/>
              <w:jc w:val="center"/>
            </w:pPr>
            <w:r>
              <w:t>N≥1 new beam(s) </w:t>
            </w:r>
            <w:r>
              <w:rPr>
                <w:rFonts w:hint="eastAsia" w:eastAsia="宋体"/>
              </w:rPr>
              <w:t xml:space="preserve">+ optional current beam </w:t>
            </w:r>
            <w:r>
              <w:t>+</w:t>
            </w:r>
          </w:p>
          <w:p>
            <w:pPr>
              <w:spacing w:before="72" w:beforeLines="30" w:after="72" w:afterLines="30" w:line="288" w:lineRule="auto"/>
              <w:jc w:val="center"/>
            </w:pPr>
            <w:r>
              <w:t>differential L1-RSRP</w:t>
            </w:r>
          </w:p>
        </w:tc>
        <w:tc>
          <w:tcPr>
            <w:tcW w:w="0" w:type="auto"/>
            <w:vAlign w:val="center"/>
          </w:tcPr>
          <w:p>
            <w:pPr>
              <w:spacing w:before="72" w:beforeLines="30" w:after="72" w:afterLines="30" w:line="288" w:lineRule="auto"/>
              <w:jc w:val="center"/>
            </w:pPr>
            <w:r>
              <w:t>TBD</w:t>
            </w:r>
          </w:p>
        </w:tc>
        <w:tc>
          <w:tcPr>
            <w:tcW w:w="0" w:type="auto"/>
            <w:vAlign w:val="center"/>
          </w:tcPr>
          <w:p>
            <w:pPr>
              <w:spacing w:before="72" w:beforeLines="30" w:after="72" w:afterLines="30" w:line="288" w:lineRule="auto"/>
              <w:jc w:val="center"/>
            </w:pPr>
            <w:r>
              <w:t>N≥1 new beam(s) </w:t>
            </w:r>
            <w:r>
              <w:rPr>
                <w:rFonts w:hint="eastAsia" w:eastAsia="宋体"/>
              </w:rPr>
              <w:t xml:space="preserve">+ current beam </w:t>
            </w:r>
            <w:r>
              <w:t>+</w:t>
            </w:r>
          </w:p>
          <w:p>
            <w:pPr>
              <w:spacing w:before="72" w:beforeLines="30" w:after="72" w:afterLines="30" w:line="288" w:lineRule="auto"/>
              <w:jc w:val="center"/>
              <w:rPr>
                <w:rFonts w:eastAsia="宋体"/>
              </w:rPr>
            </w:pPr>
            <w:r>
              <w:t>differential 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72" w:beforeLines="30" w:after="72" w:afterLines="30" w:line="288" w:lineRule="auto"/>
              <w:jc w:val="center"/>
              <w:rPr>
                <w:rFonts w:eastAsia="宋体"/>
                <w:b/>
              </w:rPr>
            </w:pPr>
            <w:r>
              <w:rPr>
                <w:rFonts w:hint="eastAsia" w:eastAsia="宋体"/>
                <w:b/>
              </w:rPr>
              <w:t xml:space="preserve">Counter based </w:t>
            </w:r>
            <w:r>
              <w:rPr>
                <w:rFonts w:hint="eastAsia" w:eastAsia="宋体"/>
                <w:b/>
                <w:lang w:val="en-US" w:eastAsia="zh-CN"/>
              </w:rPr>
              <w:t xml:space="preserve">event </w:t>
            </w:r>
            <w:r>
              <w:rPr>
                <w:rFonts w:hint="eastAsia" w:eastAsia="宋体"/>
                <w:b/>
              </w:rPr>
              <w:t>triggering</w:t>
            </w:r>
          </w:p>
        </w:tc>
        <w:tc>
          <w:tcPr>
            <w:tcW w:w="0" w:type="auto"/>
            <w:vAlign w:val="center"/>
          </w:tcPr>
          <w:p>
            <w:pPr>
              <w:spacing w:before="72" w:beforeLines="30" w:after="72" w:afterLines="30" w:line="288" w:lineRule="auto"/>
              <w:jc w:val="center"/>
              <w:rPr>
                <w:rFonts w:eastAsia="宋体"/>
              </w:rPr>
            </w:pPr>
            <w:r>
              <w:rPr>
                <w:rFonts w:hint="eastAsia" w:eastAsia="宋体"/>
              </w:rPr>
              <w:t>Support</w:t>
            </w:r>
          </w:p>
        </w:tc>
        <w:tc>
          <w:tcPr>
            <w:tcW w:w="0" w:type="auto"/>
            <w:vAlign w:val="center"/>
          </w:tcPr>
          <w:p>
            <w:pPr>
              <w:spacing w:before="72" w:beforeLines="30" w:after="72" w:afterLines="30" w:line="288" w:lineRule="auto"/>
              <w:jc w:val="center"/>
              <w:rPr>
                <w:rFonts w:eastAsia="宋体"/>
              </w:rPr>
            </w:pPr>
            <w:r>
              <w:rPr>
                <w:rFonts w:hint="eastAsia" w:eastAsia="宋体"/>
              </w:rPr>
              <w:t>Support</w:t>
            </w:r>
          </w:p>
        </w:tc>
        <w:tc>
          <w:tcPr>
            <w:tcW w:w="0" w:type="auto"/>
            <w:vAlign w:val="center"/>
          </w:tcPr>
          <w:p>
            <w:pPr>
              <w:spacing w:before="72" w:beforeLines="30" w:after="72" w:afterLines="30" w:line="288" w:lineRule="auto"/>
              <w:jc w:val="center"/>
              <w:rPr>
                <w:rFonts w:eastAsia="宋体"/>
              </w:rPr>
            </w:pPr>
            <w:r>
              <w:rPr>
                <w:rFonts w:hint="eastAsia" w:eastAsia="宋体"/>
              </w:rPr>
              <w:t>Support</w:t>
            </w:r>
          </w:p>
        </w:tc>
      </w:tr>
    </w:tbl>
    <w:p>
      <w:pPr>
        <w:pStyle w:val="99"/>
        <w:snapToGrid w:val="0"/>
        <w:spacing w:before="60" w:beforeLines="25" w:after="60" w:afterLines="25" w:line="300" w:lineRule="auto"/>
        <w:ind w:firstLine="0" w:firstLineChars="0"/>
        <w:jc w:val="both"/>
        <w:rPr>
          <w:rFonts w:eastAsia="宋体"/>
        </w:rPr>
      </w:pPr>
      <w:r>
        <w:rPr>
          <w:rFonts w:hint="eastAsia" w:eastAsia="宋体"/>
          <w:b/>
          <w:bCs/>
          <w:i/>
          <w:iCs/>
        </w:rPr>
        <w:t>Proposal 5:</w:t>
      </w:r>
      <w:r>
        <w:rPr>
          <w:rFonts w:hint="eastAsia" w:eastAsia="宋体"/>
          <w:i/>
          <w:iCs/>
        </w:rPr>
        <w:t xml:space="preserve"> On UE-initiated/event-driven beam reporting, regarding Event-1 and Event-7, support to reuse the same design of current beam determination, new beam determination, measurement quality metrics and counter based </w:t>
      </w:r>
      <w:r>
        <w:rPr>
          <w:rFonts w:hint="eastAsia" w:eastAsia="宋体"/>
          <w:i/>
          <w:iCs/>
          <w:lang w:val="en-US" w:eastAsia="zh-CN"/>
        </w:rPr>
        <w:t xml:space="preserve">event </w:t>
      </w:r>
      <w:r>
        <w:rPr>
          <w:rFonts w:hint="eastAsia" w:eastAsia="宋体"/>
          <w:i/>
          <w:iCs/>
        </w:rPr>
        <w:t xml:space="preserve">triggering as Event-2, besides for clarification that the definition of </w:t>
      </w:r>
      <w:r>
        <w:rPr>
          <w:rFonts w:eastAsia="宋体"/>
          <w:i/>
          <w:iCs/>
        </w:rPr>
        <w:t>‘</w:t>
      </w:r>
      <w:r>
        <w:rPr>
          <w:rFonts w:hint="eastAsia" w:eastAsia="宋体"/>
          <w:i/>
          <w:iCs/>
        </w:rPr>
        <w:t>current beam</w:t>
      </w:r>
      <w:r>
        <w:rPr>
          <w:rFonts w:eastAsia="宋体"/>
          <w:i/>
          <w:iCs/>
        </w:rPr>
        <w:t>’</w:t>
      </w:r>
      <w:r>
        <w:rPr>
          <w:rFonts w:hint="eastAsia" w:eastAsia="宋体"/>
          <w:i/>
          <w:iCs/>
        </w:rPr>
        <w:t xml:space="preserve"> for Event-7 corresponds to the </w:t>
      </w:r>
      <w:r>
        <w:rPr>
          <w:rFonts w:eastAsia="宋体"/>
          <w:i/>
          <w:iCs/>
        </w:rPr>
        <w:t>‘</w:t>
      </w:r>
      <w:r>
        <w:rPr>
          <w:rFonts w:hint="eastAsia" w:eastAsia="宋体"/>
          <w:i/>
          <w:iCs/>
        </w:rPr>
        <w:t>activated TCI state with M-th best quality</w:t>
      </w:r>
      <w:r>
        <w:rPr>
          <w:rFonts w:eastAsia="宋体"/>
          <w:i/>
          <w:iCs/>
        </w:rPr>
        <w:t>’</w:t>
      </w:r>
      <w:r>
        <w:rPr>
          <w:rFonts w:hint="eastAsia" w:eastAsia="宋体"/>
          <w:i/>
          <w:iCs/>
        </w:rPr>
        <w:t>.</w:t>
      </w:r>
    </w:p>
    <w:p>
      <w:pPr>
        <w:pStyle w:val="99"/>
        <w:snapToGrid w:val="0"/>
        <w:spacing w:before="60" w:beforeLines="25" w:after="60" w:afterLines="25" w:line="300" w:lineRule="auto"/>
        <w:ind w:firstLine="0" w:firstLineChars="0"/>
        <w:jc w:val="both"/>
        <w:rPr>
          <w:rFonts w:eastAsia="宋体"/>
          <w:bCs/>
          <w:iCs/>
          <w:szCs w:val="21"/>
        </w:rPr>
      </w:pPr>
      <w:r>
        <w:rPr>
          <w:rFonts w:hint="eastAsia" w:eastAsia="宋体"/>
          <w:b/>
          <w:bCs/>
          <w:szCs w:val="20"/>
          <w:u w:val="single"/>
        </w:rPr>
        <w:t>Report format for Event-7</w:t>
      </w:r>
    </w:p>
    <w:p>
      <w:pPr>
        <w:pStyle w:val="111"/>
        <w:widowControl w:val="0"/>
        <w:numPr>
          <w:ilvl w:val="255"/>
          <w:numId w:val="0"/>
        </w:numPr>
        <w:spacing w:before="72" w:beforeLines="30" w:after="72" w:afterLines="30" w:line="288" w:lineRule="auto"/>
        <w:jc w:val="both"/>
        <w:rPr>
          <w:rFonts w:eastAsia="宋体"/>
        </w:rPr>
      </w:pPr>
      <w:r>
        <w:rPr>
          <w:rFonts w:hint="eastAsia" w:eastAsia="宋体"/>
        </w:rPr>
        <w:t>Regarding the report format depending on Event-7, the L1-RSRP report depending on Event-2 can be referred as a starting point. Consequently, a configured number of N beam(s) are reported in the report instance and the M-th activated TCI state is reported in addition to the N beams. Differential L1-RSRP #2~#N and that for the M-th</w:t>
      </w:r>
      <w:r>
        <w:rPr>
          <w:rFonts w:eastAsia="宋体"/>
        </w:rPr>
        <w:t xml:space="preserve"> best</w:t>
      </w:r>
      <w:r>
        <w:rPr>
          <w:rFonts w:hint="eastAsia" w:eastAsia="宋体"/>
        </w:rPr>
        <w:t xml:space="preserve"> activated TCI state is determined based on the difference between measured L1-RSRP corresponding to the CRI/SSBRI #2~#N/M-th activated TCI state and the measured L1-RSRP corresponding to CRI/SSBRI #1. L1-RSRP#1 is the largest measured RSRP among reported ones, and an absolute L1-RSRP</w:t>
      </w:r>
      <w:r>
        <w:rPr>
          <w:rFonts w:eastAsia="宋体"/>
        </w:rPr>
        <w:t xml:space="preserve"> value</w:t>
      </w:r>
      <w:r>
        <w:rPr>
          <w:rFonts w:hint="eastAsia" w:eastAsia="宋体"/>
        </w:rPr>
        <w:t>.</w:t>
      </w:r>
    </w:p>
    <w:p>
      <w:pPr>
        <w:pStyle w:val="111"/>
        <w:widowControl w:val="0"/>
        <w:numPr>
          <w:ilvl w:val="255"/>
          <w:numId w:val="0"/>
        </w:numPr>
        <w:spacing w:before="72" w:beforeLines="30" w:after="72" w:afterLines="30" w:line="288" w:lineRule="auto"/>
        <w:jc w:val="both"/>
        <w:rPr>
          <w:rFonts w:eastAsia="宋体"/>
        </w:rPr>
      </w:pPr>
      <w:r>
        <w:rPr>
          <w:rFonts w:hint="eastAsia" w:eastAsia="宋体"/>
        </w:rPr>
        <w:t>Different from Event-2, the TCI state c</w:t>
      </w:r>
      <w:r>
        <w:rPr>
          <w:rFonts w:hint="eastAsia"/>
        </w:rPr>
        <w:t xml:space="preserve">odepoint indication </w:t>
      </w:r>
      <w:r>
        <w:t xml:space="preserve">and differential L1-RSRP value </w:t>
      </w:r>
      <w:r>
        <w:rPr>
          <w:rFonts w:hint="eastAsia"/>
        </w:rPr>
        <w:t>for the M-th best activated TCI state</w:t>
      </w:r>
      <w:r>
        <w:rPr>
          <w:rFonts w:hint="eastAsia" w:eastAsia="宋体"/>
        </w:rPr>
        <w:t xml:space="preserve"> </w:t>
      </w:r>
      <w:r>
        <w:rPr>
          <w:rFonts w:eastAsia="宋体"/>
        </w:rPr>
        <w:t xml:space="preserve">needs to </w:t>
      </w:r>
      <w:r>
        <w:rPr>
          <w:rFonts w:hint="eastAsia" w:eastAsia="宋体"/>
        </w:rPr>
        <w:t>be always</w:t>
      </w:r>
      <w:r>
        <w:rPr>
          <w:rFonts w:eastAsia="宋体"/>
        </w:rPr>
        <w:t xml:space="preserve"> reported. Otherwise, gNB cannot be aware of which activated TCI state(s) can be updated after receiving beam report initiated by the UE</w:t>
      </w:r>
      <w:r>
        <w:rPr>
          <w:rFonts w:hint="eastAsia" w:eastAsia="宋体"/>
        </w:rPr>
        <w:t xml:space="preserve">. </w:t>
      </w:r>
    </w:p>
    <w:p>
      <w:pPr>
        <w:pStyle w:val="111"/>
        <w:widowControl w:val="0"/>
        <w:numPr>
          <w:ilvl w:val="255"/>
          <w:numId w:val="0"/>
        </w:numPr>
        <w:spacing w:before="72" w:beforeLines="30" w:after="72" w:afterLines="30" w:line="288" w:lineRule="auto"/>
        <w:jc w:val="both"/>
        <w:rPr>
          <w:rFonts w:eastAsia="宋体"/>
        </w:rPr>
      </w:pPr>
      <w:r>
        <w:rPr>
          <w:rFonts w:hint="eastAsia" w:eastAsia="宋体"/>
        </w:rPr>
        <w:t xml:space="preserve">Accordingly, the L1-RSRP report format depending on Event-7 can be </w:t>
      </w:r>
      <w:r>
        <w:rPr>
          <w:rFonts w:eastAsia="宋体"/>
        </w:rPr>
        <w:t>concluded</w:t>
      </w:r>
      <w:r>
        <w:rPr>
          <w:rFonts w:hint="eastAsia" w:eastAsia="宋体"/>
        </w:rPr>
        <w:t xml:space="preserve"> as in Table 3. </w:t>
      </w:r>
    </w:p>
    <w:p>
      <w:pPr>
        <w:snapToGrid w:val="0"/>
        <w:spacing w:before="72" w:beforeLines="30" w:after="72" w:afterLines="30" w:line="288" w:lineRule="auto"/>
        <w:jc w:val="center"/>
        <w:rPr>
          <w:rFonts w:eastAsia="宋体"/>
        </w:rPr>
      </w:pPr>
      <w:r>
        <w:rPr>
          <w:rFonts w:hint="eastAsia" w:eastAsia="宋体"/>
          <w:b/>
          <w:bCs/>
        </w:rPr>
        <w:t>Table 3</w:t>
      </w:r>
      <w:r>
        <w:rPr>
          <w:rFonts w:hint="eastAsia" w:eastAsia="宋体"/>
        </w:rPr>
        <w:t xml:space="preserve"> L1-RSRP report format depending on Event-7</w:t>
      </w:r>
    </w:p>
    <w:tbl>
      <w:tblPr>
        <w:tblStyle w:val="23"/>
        <w:tblW w:w="5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eastAsia="zh-CN"/>
              </w:rPr>
              <w:t xml:space="preserve">CRI or </w:t>
            </w:r>
            <w:r>
              <w:rPr>
                <w:lang w:eastAsia="zh-CN"/>
              </w:rPr>
              <w:t>SSBRI</w:t>
            </w:r>
            <w:r>
              <w:rPr>
                <w:rFonts w:hint="eastAsia"/>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eastAsia="zh-CN"/>
              </w:rPr>
              <w:t xml:space="preserve">CRI or </w:t>
            </w:r>
            <w:r>
              <w:rPr>
                <w:lang w:eastAsia="zh-CN"/>
              </w:rPr>
              <w:t>SSBRI</w:t>
            </w:r>
            <w:r>
              <w:rPr>
                <w:rFonts w:hint="eastAsia"/>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eastAsia="zh-CN"/>
              </w:rPr>
              <w:t xml:space="preserve">CRI or </w:t>
            </w:r>
            <w:r>
              <w:rPr>
                <w:lang w:eastAsia="zh-CN"/>
              </w:rPr>
              <w:t>SSBRI</w:t>
            </w:r>
            <w:r>
              <w:rPr>
                <w:rFonts w:hint="eastAsia"/>
                <w:lang w:eastAsia="zh-CN"/>
              </w:rPr>
              <w:t xml:space="preserve"> #</w:t>
            </w:r>
            <w:r>
              <w:rPr>
                <w:rFonts w:hint="eastAsia"/>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val="en-US" w:eastAsia="zh-CN"/>
              </w:rPr>
              <w:t>L1-</w:t>
            </w:r>
            <w:r>
              <w:rPr>
                <w:rFonts w:hint="eastAsia"/>
                <w:lang w:eastAsia="zh-CN"/>
              </w:rPr>
              <w:t>RSRP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eastAsia="zh-CN"/>
              </w:rPr>
              <w:t xml:space="preserve">Differential </w:t>
            </w:r>
            <w:r>
              <w:rPr>
                <w:rFonts w:hint="eastAsia"/>
                <w:lang w:val="en-US" w:eastAsia="zh-CN"/>
              </w:rPr>
              <w:t>L1-</w:t>
            </w:r>
            <w:r>
              <w:rPr>
                <w:rFonts w:hint="eastAsia"/>
                <w:lang w:eastAsia="zh-CN"/>
              </w:rPr>
              <w:t>RSRP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eastAsia="zh-CN"/>
              </w:rPr>
            </w:pPr>
            <w:r>
              <w:rPr>
                <w:rFonts w:hint="eastAsia"/>
                <w:lang w:eastAsia="zh-CN"/>
              </w:rPr>
              <w:t xml:space="preserve">Differential </w:t>
            </w:r>
            <w:r>
              <w:rPr>
                <w:rFonts w:hint="eastAsia"/>
                <w:lang w:val="en-US" w:eastAsia="zh-CN"/>
              </w:rPr>
              <w:t>L1-</w:t>
            </w:r>
            <w:r>
              <w:rPr>
                <w:rFonts w:hint="eastAsia"/>
                <w:lang w:eastAsia="zh-CN"/>
              </w:rPr>
              <w:t>RSRP #</w:t>
            </w:r>
            <w:r>
              <w:rPr>
                <w:rFonts w:hint="eastAsia"/>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val="en-US" w:eastAsia="zh-CN"/>
              </w:rPr>
            </w:pPr>
            <w:r>
              <w:rPr>
                <w:rFonts w:hint="eastAsia"/>
                <w:lang w:val="en-US" w:eastAsia="zh-CN"/>
              </w:rPr>
              <w:t>Codepoint indication for the M-th best activated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377" w:type="dxa"/>
            <w:vAlign w:val="center"/>
          </w:tcPr>
          <w:p>
            <w:pPr>
              <w:pStyle w:val="42"/>
              <w:rPr>
                <w:lang w:val="en-US" w:eastAsia="zh-CN"/>
              </w:rPr>
            </w:pPr>
            <w:r>
              <w:rPr>
                <w:rFonts w:hint="eastAsia"/>
                <w:lang w:eastAsia="zh-CN"/>
              </w:rPr>
              <w:t xml:space="preserve">Differential </w:t>
            </w:r>
            <w:r>
              <w:rPr>
                <w:rFonts w:hint="eastAsia"/>
                <w:lang w:val="en-US" w:eastAsia="zh-CN"/>
              </w:rPr>
              <w:t>L1-</w:t>
            </w:r>
            <w:r>
              <w:rPr>
                <w:rFonts w:hint="eastAsia"/>
                <w:lang w:eastAsia="zh-CN"/>
              </w:rPr>
              <w:t>RSRP</w:t>
            </w:r>
            <w:r>
              <w:rPr>
                <w:rFonts w:hint="eastAsia"/>
                <w:lang w:val="en-US" w:eastAsia="zh-CN"/>
              </w:rPr>
              <w:t xml:space="preserve"> for the M-th best activated TCI state</w:t>
            </w:r>
          </w:p>
        </w:tc>
      </w:tr>
    </w:tbl>
    <w:p>
      <w:pPr>
        <w:pStyle w:val="111"/>
        <w:widowControl w:val="0"/>
        <w:spacing w:before="72" w:beforeLines="30" w:after="72" w:afterLines="30" w:line="288" w:lineRule="auto"/>
        <w:ind w:firstLine="0" w:firstLineChars="0"/>
        <w:jc w:val="both"/>
        <w:rPr>
          <w:rFonts w:eastAsia="宋体"/>
          <w:bCs/>
          <w:iCs/>
          <w:szCs w:val="21"/>
        </w:rPr>
      </w:pPr>
      <w:r>
        <w:rPr>
          <w:rFonts w:hint="eastAsia" w:eastAsia="宋体"/>
          <w:bCs/>
          <w:iCs/>
          <w:szCs w:val="21"/>
        </w:rPr>
        <w:t>Furthermore, the number of activated TCI states that can be updated by a respective new beam varies depending on the quality of the new beams. As shown in Figure 1, if M is configured to be 5, besides the 5-th best activated TCI state, some activated TCI state better or worse than the 5-th best activated TCI state, i.e., the 3</w:t>
      </w:r>
      <w:r>
        <w:rPr>
          <w:rFonts w:hint="eastAsia" w:eastAsia="宋体"/>
          <w:bCs/>
          <w:iCs/>
          <w:szCs w:val="21"/>
          <w:vertAlign w:val="superscript"/>
        </w:rPr>
        <w:t>rd</w:t>
      </w:r>
      <w:r>
        <w:rPr>
          <w:rFonts w:hint="eastAsia" w:eastAsia="宋体"/>
          <w:bCs/>
          <w:iCs/>
          <w:szCs w:val="21"/>
        </w:rPr>
        <w:t xml:space="preserve"> and 4</w:t>
      </w:r>
      <w:r>
        <w:rPr>
          <w:rFonts w:hint="eastAsia" w:eastAsia="宋体"/>
          <w:bCs/>
          <w:iCs/>
          <w:szCs w:val="21"/>
          <w:vertAlign w:val="superscript"/>
        </w:rPr>
        <w:t>th</w:t>
      </w:r>
      <w:r>
        <w:rPr>
          <w:rFonts w:hint="eastAsia" w:eastAsia="宋体"/>
          <w:bCs/>
          <w:iCs/>
          <w:szCs w:val="21"/>
        </w:rPr>
        <w:t xml:space="preserve"> best activated TCI state or the 6</w:t>
      </w:r>
      <w:r>
        <w:rPr>
          <w:rFonts w:hint="eastAsia" w:eastAsia="宋体"/>
          <w:bCs/>
          <w:iCs/>
          <w:szCs w:val="21"/>
          <w:vertAlign w:val="superscript"/>
        </w:rPr>
        <w:t>th</w:t>
      </w:r>
      <w:r>
        <w:rPr>
          <w:rFonts w:hint="eastAsia" w:eastAsia="宋体"/>
          <w:bCs/>
          <w:iCs/>
          <w:szCs w:val="21"/>
        </w:rPr>
        <w:t xml:space="preserve"> and 7</w:t>
      </w:r>
      <w:r>
        <w:rPr>
          <w:rFonts w:hint="eastAsia" w:eastAsia="宋体"/>
          <w:bCs/>
          <w:iCs/>
          <w:szCs w:val="21"/>
          <w:vertAlign w:val="superscript"/>
        </w:rPr>
        <w:t>th</w:t>
      </w:r>
      <w:r>
        <w:rPr>
          <w:rFonts w:hint="eastAsia" w:eastAsia="宋体"/>
          <w:bCs/>
          <w:iCs/>
          <w:szCs w:val="21"/>
        </w:rPr>
        <w:t xml:space="preserve"> best activated TCI state, can be updated by the new beams as well. </w:t>
      </w:r>
      <w:r>
        <w:rPr>
          <w:rFonts w:eastAsia="宋体"/>
          <w:bCs/>
          <w:iCs/>
          <w:szCs w:val="21"/>
        </w:rPr>
        <w:t>F</w:t>
      </w:r>
      <w:r>
        <w:rPr>
          <w:rFonts w:hint="eastAsia" w:eastAsia="宋体"/>
          <w:bCs/>
          <w:iCs/>
          <w:szCs w:val="21"/>
        </w:rPr>
        <w:t xml:space="preserve">or the sake of effective report, it </w:t>
      </w:r>
      <w:r>
        <w:rPr>
          <w:rFonts w:eastAsia="宋体"/>
          <w:bCs/>
          <w:iCs/>
          <w:szCs w:val="21"/>
        </w:rPr>
        <w:t>may be</w:t>
      </w:r>
      <w:r>
        <w:rPr>
          <w:rFonts w:hint="eastAsia" w:eastAsia="宋体"/>
          <w:bCs/>
          <w:iCs/>
          <w:szCs w:val="21"/>
        </w:rPr>
        <w:t xml:space="preserve"> advisable to report </w:t>
      </w:r>
      <w:r>
        <w:rPr>
          <w:rFonts w:eastAsia="宋体"/>
          <w:bCs/>
          <w:iCs/>
          <w:szCs w:val="21"/>
        </w:rPr>
        <w:t xml:space="preserve">all </w:t>
      </w:r>
      <w:r>
        <w:rPr>
          <w:rFonts w:hint="eastAsia" w:eastAsia="宋体"/>
          <w:bCs/>
          <w:iCs/>
          <w:szCs w:val="21"/>
        </w:rPr>
        <w:t>the activated TCI states other than the M-th best activated TCI state to facilitate the subsequent TCI activation/deactivation.</w:t>
      </w:r>
    </w:p>
    <w:p>
      <w:pPr>
        <w:pStyle w:val="111"/>
        <w:widowControl w:val="0"/>
        <w:spacing w:before="72" w:beforeLines="30" w:after="72" w:afterLines="30" w:line="288" w:lineRule="auto"/>
        <w:ind w:firstLine="0" w:firstLineChars="0"/>
        <w:jc w:val="both"/>
        <w:rPr>
          <w:rFonts w:eastAsia="宋体"/>
          <w:b/>
          <w:bCs/>
        </w:rPr>
      </w:pPr>
      <w:r>
        <w:rPr>
          <w:rFonts w:hint="eastAsia" w:eastAsia="宋体"/>
          <w:bCs/>
          <w:iCs/>
          <w:szCs w:val="21"/>
        </w:rPr>
        <w:t xml:space="preserve">To achieve a flexible solution, it should be up to UE implementation to determine whether the additionally reported activated TCI state corresponds to an activated TCI state better or worse than the M-th best activated TCI state. In other words, the UE may report the activated TCI states that it desires to be updated, rather than following a predetermined rule.     </w:t>
      </w:r>
    </w:p>
    <w:p>
      <w:pPr>
        <w:pStyle w:val="111"/>
        <w:widowControl w:val="0"/>
        <w:numPr>
          <w:ilvl w:val="255"/>
          <w:numId w:val="0"/>
        </w:numPr>
        <w:spacing w:before="72" w:beforeLines="30" w:after="72" w:afterLines="30" w:line="288" w:lineRule="auto"/>
        <w:jc w:val="center"/>
        <w:rPr>
          <w:rFonts w:eastAsia="宋体"/>
          <w:b/>
          <w:bCs/>
        </w:rPr>
      </w:pPr>
      <w:r>
        <w:rPr>
          <w:rFonts w:hint="eastAsia" w:eastAsia="宋体"/>
          <w:b/>
          <w:bCs/>
        </w:rPr>
        <w:drawing>
          <wp:inline distT="0" distB="0" distL="114300" distR="114300">
            <wp:extent cx="2778760" cy="1697990"/>
            <wp:effectExtent l="0" t="0" r="0" b="16510"/>
            <wp:docPr id="10" name="图片 10" descr="event7cqu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vent7cquality"/>
                    <pic:cNvPicPr>
                      <a:picLocks noChangeAspect="1"/>
                    </pic:cNvPicPr>
                  </pic:nvPicPr>
                  <pic:blipFill>
                    <a:blip r:embed="rId6"/>
                    <a:stretch>
                      <a:fillRect/>
                    </a:stretch>
                  </pic:blipFill>
                  <pic:spPr>
                    <a:xfrm>
                      <a:off x="0" y="0"/>
                      <a:ext cx="2778760" cy="1697990"/>
                    </a:xfrm>
                    <a:prstGeom prst="rect">
                      <a:avLst/>
                    </a:prstGeom>
                  </pic:spPr>
                </pic:pic>
              </a:graphicData>
            </a:graphic>
          </wp:inline>
        </w:drawing>
      </w:r>
    </w:p>
    <w:p>
      <w:pPr>
        <w:pStyle w:val="111"/>
        <w:widowControl w:val="0"/>
        <w:numPr>
          <w:ilvl w:val="255"/>
          <w:numId w:val="0"/>
        </w:numPr>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Quality of activated TCI states and new beams for Event-7</w:t>
      </w:r>
    </w:p>
    <w:p>
      <w:pPr>
        <w:pStyle w:val="111"/>
        <w:widowControl w:val="0"/>
        <w:numPr>
          <w:ilvl w:val="255"/>
          <w:numId w:val="0"/>
        </w:numPr>
        <w:spacing w:before="72" w:beforeLines="30" w:after="72" w:afterLines="30" w:line="288" w:lineRule="auto"/>
        <w:jc w:val="both"/>
        <w:rPr>
          <w:rFonts w:eastAsia="宋体"/>
        </w:rPr>
      </w:pPr>
      <w:r>
        <w:rPr>
          <w:rFonts w:hint="eastAsia" w:eastAsia="宋体"/>
        </w:rPr>
        <w:t>Based on the above analysis, we have the following proposal.</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6</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reused, except for the following:</w:t>
      </w:r>
    </w:p>
    <w:p>
      <w:pPr>
        <w:numPr>
          <w:ilvl w:val="0"/>
          <w:numId w:val="12"/>
        </w:numPr>
        <w:snapToGrid w:val="0"/>
        <w:spacing w:before="72" w:beforeLines="30" w:after="72" w:afterLines="30" w:line="288" w:lineRule="auto"/>
        <w:jc w:val="both"/>
        <w:rPr>
          <w:rFonts w:eastAsia="宋体"/>
          <w:i/>
          <w:iCs/>
          <w:szCs w:val="20"/>
        </w:rPr>
      </w:pPr>
      <w:r>
        <w:rPr>
          <w:rFonts w:eastAsia="宋体"/>
          <w:i/>
          <w:szCs w:val="20"/>
        </w:rPr>
        <w:t xml:space="preserve">Clarifying that the ‘current beam’ refers to </w:t>
      </w:r>
      <w:r>
        <w:rPr>
          <w:rFonts w:hint="eastAsia" w:eastAsia="宋体"/>
          <w:i/>
          <w:iCs/>
        </w:rPr>
        <w:t>the M-th best activated TCI state</w:t>
      </w:r>
      <w:r>
        <w:rPr>
          <w:rFonts w:eastAsia="宋体"/>
          <w:i/>
          <w:iCs/>
        </w:rPr>
        <w:t xml:space="preserve">, and </w:t>
      </w:r>
      <w:r>
        <w:rPr>
          <w:rFonts w:hint="eastAsia" w:eastAsia="宋体"/>
          <w:i/>
          <w:iCs/>
        </w:rPr>
        <w:t xml:space="preserve">the M-th best activated TCI state </w:t>
      </w:r>
      <w:r>
        <w:rPr>
          <w:rFonts w:eastAsia="宋体"/>
          <w:i/>
          <w:iCs/>
        </w:rPr>
        <w:t xml:space="preserve">as well as </w:t>
      </w:r>
      <w:r>
        <w:rPr>
          <w:rFonts w:hint="eastAsia" w:eastAsia="宋体"/>
          <w:i/>
          <w:iCs/>
        </w:rPr>
        <w:t xml:space="preserve">its </w:t>
      </w:r>
      <w:r>
        <w:rPr>
          <w:rFonts w:eastAsia="宋体"/>
          <w:i/>
          <w:iCs/>
        </w:rPr>
        <w:t>corresponding TCI codepoint index should be</w:t>
      </w:r>
      <w:r>
        <w:rPr>
          <w:rFonts w:hint="eastAsia" w:eastAsia="宋体"/>
          <w:i/>
          <w:iCs/>
        </w:rPr>
        <w:t xml:space="preserve"> always reported in addition to the N beams</w:t>
      </w:r>
      <w:r>
        <w:rPr>
          <w:rFonts w:eastAsia="宋体"/>
          <w:i/>
          <w:iCs/>
        </w:rPr>
        <w:t>.</w:t>
      </w:r>
    </w:p>
    <w:p>
      <w:pPr>
        <w:numPr>
          <w:ilvl w:val="1"/>
          <w:numId w:val="12"/>
        </w:numPr>
        <w:snapToGrid w:val="0"/>
        <w:spacing w:before="72" w:beforeLines="30" w:after="72" w:afterLines="30" w:line="288" w:lineRule="auto"/>
        <w:jc w:val="both"/>
        <w:rPr>
          <w:rFonts w:eastAsia="宋体"/>
          <w:i/>
          <w:iCs/>
        </w:rPr>
      </w:pPr>
      <w:r>
        <w:rPr>
          <w:rFonts w:eastAsia="宋体"/>
          <w:i/>
          <w:iCs/>
        </w:rPr>
        <w:t xml:space="preserve">Note: </w:t>
      </w:r>
      <w:r>
        <w:rPr>
          <w:rFonts w:hint="eastAsia" w:eastAsia="宋体"/>
          <w:i/>
          <w:iCs/>
        </w:rPr>
        <w:t>At least one of N reported beam(s) should satisfy the condition of Event-7.</w:t>
      </w:r>
    </w:p>
    <w:p>
      <w:pPr>
        <w:pStyle w:val="111"/>
        <w:widowControl w:val="0"/>
        <w:numPr>
          <w:ilvl w:val="0"/>
          <w:numId w:val="12"/>
        </w:numPr>
        <w:spacing w:before="72" w:beforeLines="30" w:after="72" w:afterLines="30" w:line="288" w:lineRule="auto"/>
        <w:ind w:firstLineChars="0"/>
        <w:jc w:val="both"/>
        <w:rPr>
          <w:rFonts w:eastAsia="宋体"/>
          <w:i/>
          <w:szCs w:val="20"/>
        </w:rPr>
      </w:pPr>
      <w:r>
        <w:rPr>
          <w:rFonts w:eastAsia="宋体"/>
          <w:i/>
          <w:szCs w:val="20"/>
        </w:rPr>
        <w:t>Additional information for facilitating the subsequent TCI activation/deactivation:</w:t>
      </w:r>
    </w:p>
    <w:p>
      <w:pPr>
        <w:pStyle w:val="111"/>
        <w:widowControl w:val="0"/>
        <w:numPr>
          <w:ilvl w:val="1"/>
          <w:numId w:val="12"/>
        </w:numPr>
        <w:spacing w:before="72" w:beforeLines="30" w:after="72" w:afterLines="30" w:line="288" w:lineRule="auto"/>
        <w:ind w:firstLineChars="0"/>
        <w:jc w:val="both"/>
        <w:rPr>
          <w:rFonts w:eastAsia="宋体"/>
          <w:i/>
          <w:szCs w:val="20"/>
        </w:rPr>
      </w:pPr>
      <w:r>
        <w:rPr>
          <w:rFonts w:eastAsia="宋体"/>
          <w:i/>
          <w:szCs w:val="20"/>
        </w:rPr>
        <w:t>Introducing the candidate value of N comprising {5, 6, 7, 8}</w:t>
      </w:r>
      <w:r>
        <w:rPr>
          <w:rFonts w:hint="eastAsia" w:eastAsia="宋体"/>
          <w:i/>
          <w:szCs w:val="20"/>
        </w:rPr>
        <w:t>.</w:t>
      </w:r>
    </w:p>
    <w:p>
      <w:pPr>
        <w:numPr>
          <w:ilvl w:val="1"/>
          <w:numId w:val="12"/>
        </w:numPr>
        <w:snapToGrid w:val="0"/>
        <w:spacing w:before="72" w:beforeLines="30" w:after="72" w:afterLines="30" w:line="288" w:lineRule="auto"/>
        <w:jc w:val="both"/>
        <w:rPr>
          <w:rFonts w:eastAsia="宋体"/>
        </w:rPr>
      </w:pPr>
      <w:r>
        <w:rPr>
          <w:rFonts w:hint="eastAsia" w:eastAsia="宋体"/>
          <w:i/>
          <w:iCs/>
        </w:rPr>
        <w:t>FFS: Whether to additionally report the activated TCI state other than the M-th best activated TCI state.</w:t>
      </w:r>
    </w:p>
    <w:p>
      <w:pPr>
        <w:pStyle w:val="99"/>
        <w:snapToGrid w:val="0"/>
        <w:spacing w:before="60" w:beforeLines="25" w:after="60" w:afterLines="25" w:line="300" w:lineRule="auto"/>
        <w:ind w:firstLine="0" w:firstLineChars="0"/>
        <w:jc w:val="both"/>
        <w:rPr>
          <w:rFonts w:eastAsia="宋体"/>
          <w:bCs/>
          <w:iCs/>
          <w:szCs w:val="21"/>
        </w:rPr>
      </w:pPr>
      <w:r>
        <w:rPr>
          <w:rFonts w:hint="eastAsia" w:eastAsia="宋体"/>
          <w:b/>
          <w:bCs/>
          <w:szCs w:val="20"/>
          <w:u w:val="single"/>
        </w:rPr>
        <w:t>Report format for Event-1</w:t>
      </w:r>
    </w:p>
    <w:p>
      <w:pPr>
        <w:spacing w:before="72" w:beforeLines="30" w:after="72" w:afterLines="30" w:line="288" w:lineRule="auto"/>
        <w:jc w:val="both"/>
      </w:pPr>
      <w:r>
        <w:rPr>
          <w:rFonts w:hint="eastAsia"/>
        </w:rPr>
        <w:t xml:space="preserve">Based on the </w:t>
      </w:r>
      <w:r>
        <w:t>elaboration</w:t>
      </w:r>
      <w:r>
        <w:rPr>
          <w:rFonts w:hint="eastAsia"/>
        </w:rPr>
        <w:t xml:space="preserve"> in section 3, it is preferred that the first PUCCH and the second UL channel can be associated with multiple CSI report configurations for UEI beam report. Consequently, the three-step procedure in Mode-A and two-step procedure in Mode-B as agreed for Event-2 should be reused for Event-1. Otherwise, some error cases may </w:t>
      </w:r>
      <w:r>
        <w:rPr>
          <w:rFonts w:hint="eastAsia" w:eastAsia="宋体"/>
        </w:rPr>
        <w:t>occur</w:t>
      </w:r>
      <w:r>
        <w:rPr>
          <w:rFonts w:eastAsia="宋体"/>
        </w:rPr>
        <w:t xml:space="preserve"> as follows</w:t>
      </w:r>
      <w:r>
        <w:rPr>
          <w:rFonts w:hint="eastAsia"/>
        </w:rPr>
        <w:t>.</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 xml:space="preserve">Case-1: When only one UEIBR triggered by Event-1 occurs, if the UE transmits the first PUCCH associated with multiple UEIBR configurations and does not transmit the second UL channel, network may be </w:t>
      </w:r>
      <w:r>
        <w:rPr>
          <w:rFonts w:eastAsia="宋体"/>
        </w:rPr>
        <w:t>unaware of</w:t>
      </w:r>
      <w:r>
        <w:rPr>
          <w:rFonts w:hint="eastAsia" w:eastAsia="宋体"/>
        </w:rPr>
        <w:t xml:space="preserve"> whether the second UL channel is received or if Event-1 occurs. </w:t>
      </w:r>
    </w:p>
    <w:p>
      <w:pPr>
        <w:pStyle w:val="111"/>
        <w:numPr>
          <w:ilvl w:val="1"/>
          <w:numId w:val="14"/>
        </w:numPr>
        <w:snapToGrid w:val="0"/>
        <w:spacing w:before="72" w:beforeLines="30" w:after="72" w:afterLines="30" w:line="288" w:lineRule="auto"/>
        <w:ind w:firstLineChars="0"/>
        <w:jc w:val="both"/>
      </w:pPr>
      <w:r>
        <w:rPr>
          <w:rFonts w:hint="eastAsia" w:eastAsia="宋体"/>
        </w:rPr>
        <w:t>Case-2: When multiple UEIBRs are triggered, and one of them is triggered by Event-1, the UE has to transmit signaling content for Event-1 in the second UL channel</w:t>
      </w:r>
      <w:r>
        <w:rPr>
          <w:rFonts w:eastAsia="宋体"/>
        </w:rPr>
        <w:t>.</w:t>
      </w:r>
      <w:r>
        <w:rPr>
          <w:rFonts w:hint="eastAsia" w:eastAsia="宋体"/>
        </w:rPr>
        <w:t xml:space="preserve"> </w:t>
      </w:r>
      <w:r>
        <w:rPr>
          <w:rFonts w:eastAsia="宋体"/>
        </w:rPr>
        <w:t>O</w:t>
      </w:r>
      <w:r>
        <w:rPr>
          <w:rFonts w:hint="eastAsia" w:eastAsia="宋体"/>
        </w:rPr>
        <w:t>therwise, the network cannot realize the occurrence of Event-1.</w:t>
      </w:r>
    </w:p>
    <w:p>
      <w:pPr>
        <w:spacing w:before="72" w:beforeLines="30" w:after="72" w:afterLines="30" w:line="288" w:lineRule="auto"/>
        <w:jc w:val="both"/>
      </w:pPr>
      <w:r>
        <w:rPr>
          <w:rFonts w:hint="eastAsia"/>
        </w:rPr>
        <w:t xml:space="preserve">Only when the first PUCCH is dedicatedly configured to a UEIBR configuration associated with Event-1, transmitting the first PUCCH only to inform the triggering of Event-1 </w:t>
      </w:r>
      <w:r>
        <w:t>can be workable</w:t>
      </w:r>
      <w:r>
        <w:rPr>
          <w:rFonts w:hint="eastAsia"/>
        </w:rPr>
        <w:t xml:space="preserve">. However, such configuration </w:t>
      </w:r>
      <w:r>
        <w:rPr>
          <w:rFonts w:hint="eastAsia" w:eastAsia="宋体"/>
        </w:rPr>
        <w:t xml:space="preserve">demands </w:t>
      </w:r>
      <w:r>
        <w:rPr>
          <w:rFonts w:hint="eastAsia"/>
        </w:rPr>
        <w:t xml:space="preserve">a </w:t>
      </w:r>
      <w:r>
        <w:rPr>
          <w:rFonts w:hint="eastAsia" w:eastAsia="宋体"/>
        </w:rPr>
        <w:t>significant</w:t>
      </w:r>
      <w:r>
        <w:rPr>
          <w:rFonts w:hint="eastAsia"/>
        </w:rPr>
        <w:t xml:space="preserve"> </w:t>
      </w:r>
      <w:r>
        <w:rPr>
          <w:rFonts w:hint="eastAsia" w:eastAsia="宋体"/>
        </w:rPr>
        <w:t xml:space="preserve">number </w:t>
      </w:r>
      <w:r>
        <w:rPr>
          <w:rFonts w:hint="eastAsia"/>
        </w:rPr>
        <w:t>of first PUCCH resource configurations</w:t>
      </w:r>
      <w:r>
        <w:rPr>
          <w:rFonts w:hint="eastAsia" w:eastAsia="宋体"/>
        </w:rPr>
        <w:t xml:space="preserve">, </w:t>
      </w:r>
      <w:r>
        <w:rPr>
          <w:rFonts w:eastAsia="宋体"/>
        </w:rPr>
        <w:t xml:space="preserve">which may negatively </w:t>
      </w:r>
      <w:r>
        <w:rPr>
          <w:rFonts w:hint="eastAsia" w:eastAsia="宋体"/>
        </w:rPr>
        <w:t xml:space="preserve">lead to </w:t>
      </w:r>
      <w:r>
        <w:rPr>
          <w:rFonts w:eastAsia="宋体"/>
        </w:rPr>
        <w:t>unexpected</w:t>
      </w:r>
      <w:r>
        <w:rPr>
          <w:rFonts w:hint="eastAsia" w:eastAsia="宋体"/>
        </w:rPr>
        <w:t xml:space="preserve"> </w:t>
      </w:r>
      <w:r>
        <w:rPr>
          <w:rFonts w:hint="eastAsia"/>
        </w:rPr>
        <w:t>resource waste.</w:t>
      </w:r>
    </w:p>
    <w:p>
      <w:pPr>
        <w:spacing w:before="72" w:beforeLines="30" w:after="72" w:afterLines="30" w:line="288" w:lineRule="auto"/>
        <w:jc w:val="both"/>
      </w:pPr>
      <w:r>
        <w:rPr>
          <w:rFonts w:hint="eastAsia"/>
        </w:rPr>
        <w:t xml:space="preserve">Accordingly, a simple </w:t>
      </w:r>
      <w:r>
        <w:rPr>
          <w:rFonts w:eastAsia="宋体"/>
        </w:rPr>
        <w:t xml:space="preserve">and </w:t>
      </w:r>
      <w:r>
        <w:rPr>
          <w:rFonts w:hint="eastAsia"/>
        </w:rPr>
        <w:t xml:space="preserve">essential report format depending on Event-1 </w:t>
      </w:r>
      <w:r>
        <w:t>can be</w:t>
      </w:r>
      <w:r>
        <w:rPr>
          <w:rFonts w:hint="eastAsia"/>
        </w:rPr>
        <w:t xml:space="preserve"> considered as follows.   </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 xml:space="preserve">Alt-1: UE transmits one-bit indication in the second UL channel. </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Alt-2: UE transmits L1-RSRP value of the current beam.</w:t>
      </w:r>
    </w:p>
    <w:p>
      <w:pPr>
        <w:pStyle w:val="111"/>
        <w:numPr>
          <w:ilvl w:val="2"/>
          <w:numId w:val="14"/>
        </w:numPr>
        <w:snapToGrid w:val="0"/>
        <w:spacing w:before="72" w:beforeLines="30" w:after="72" w:afterLines="30" w:line="288" w:lineRule="auto"/>
        <w:ind w:firstLineChars="0"/>
        <w:jc w:val="both"/>
        <w:rPr>
          <w:rFonts w:eastAsia="宋体"/>
        </w:rPr>
      </w:pPr>
      <w:r>
        <w:rPr>
          <w:rFonts w:eastAsia="宋体"/>
        </w:rPr>
        <w:t>Furthermore, it can be considered to report either</w:t>
      </w:r>
      <w:r>
        <w:rPr>
          <w:rFonts w:hint="eastAsia" w:eastAsia="宋体"/>
        </w:rPr>
        <w:t xml:space="preserve"> absolute L1-RSRP value</w:t>
      </w:r>
      <w:r>
        <w:rPr>
          <w:rFonts w:eastAsia="宋体"/>
        </w:rPr>
        <w:t xml:space="preserve"> or</w:t>
      </w:r>
      <w:r>
        <w:rPr>
          <w:rFonts w:hint="eastAsia" w:eastAsia="宋体"/>
        </w:rPr>
        <w:t xml:space="preserve"> differential L1-RSRP value, </w:t>
      </w:r>
      <w:r>
        <w:rPr>
          <w:rFonts w:eastAsia="宋体"/>
        </w:rPr>
        <w:t xml:space="preserve">that </w:t>
      </w:r>
      <w:r>
        <w:rPr>
          <w:rFonts w:hint="eastAsia" w:eastAsia="宋体"/>
        </w:rPr>
        <w:t>determined based on the difference between measured L1-RSRP corresponding to the current beam and the threshold value.</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7</w:t>
      </w:r>
      <w:r>
        <w:rPr>
          <w:b/>
          <w:i/>
          <w:szCs w:val="21"/>
        </w:rPr>
        <w:t>:</w:t>
      </w:r>
      <w:r>
        <w:rPr>
          <w:bCs/>
          <w:i/>
          <w:szCs w:val="21"/>
        </w:rPr>
        <w:t xml:space="preserve"> </w:t>
      </w:r>
      <w:r>
        <w:rPr>
          <w:rFonts w:hint="eastAsia" w:eastAsia="宋体"/>
          <w:i/>
          <w:szCs w:val="20"/>
        </w:rPr>
        <w:t xml:space="preserve">On UE-initiated/event-driven beam reporting depending on Event-1, regarding UL signaling content(s) of L1-RSRP report depending on Event-1, support the following two alternatives. </w:t>
      </w:r>
    </w:p>
    <w:p>
      <w:pPr>
        <w:numPr>
          <w:ilvl w:val="0"/>
          <w:numId w:val="12"/>
        </w:numPr>
        <w:snapToGrid w:val="0"/>
        <w:spacing w:before="72" w:beforeLines="30" w:after="72" w:afterLines="30" w:line="288" w:lineRule="auto"/>
        <w:jc w:val="both"/>
        <w:rPr>
          <w:rFonts w:eastAsia="宋体"/>
          <w:i/>
          <w:iCs/>
        </w:rPr>
      </w:pPr>
      <w:r>
        <w:rPr>
          <w:rFonts w:hint="eastAsia" w:eastAsia="宋体"/>
          <w:i/>
          <w:iCs/>
        </w:rPr>
        <w:t>Alt-1: One bit indication.</w:t>
      </w:r>
    </w:p>
    <w:p>
      <w:pPr>
        <w:numPr>
          <w:ilvl w:val="0"/>
          <w:numId w:val="12"/>
        </w:numPr>
        <w:snapToGrid w:val="0"/>
        <w:spacing w:before="72" w:beforeLines="30" w:after="72" w:afterLines="30" w:line="288" w:lineRule="auto"/>
        <w:jc w:val="both"/>
        <w:rPr>
          <w:rFonts w:eastAsia="宋体"/>
          <w:i/>
          <w:iCs/>
        </w:rPr>
      </w:pPr>
      <w:r>
        <w:rPr>
          <w:rFonts w:hint="eastAsia" w:eastAsia="宋体"/>
          <w:i/>
          <w:iCs/>
        </w:rPr>
        <w:t>Alt-2: L1-RSRP value of the current beam.</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container</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First PUCCH</w:t>
      </w:r>
    </w:p>
    <w:p>
      <w:pPr>
        <w:snapToGrid w:val="0"/>
        <w:spacing w:before="72" w:beforeLines="30" w:after="72" w:afterLines="30" w:line="288" w:lineRule="auto"/>
        <w:jc w:val="both"/>
        <w:rPr>
          <w:rFonts w:eastAsia="宋体"/>
          <w:b/>
          <w:sz w:val="28"/>
          <w:szCs w:val="28"/>
        </w:rPr>
      </w:pPr>
      <w:r>
        <w:rPr>
          <w:rFonts w:hint="eastAsia" w:eastAsia="宋体"/>
        </w:rPr>
        <w:t xml:space="preserve">In RAN1#118 meeting, the following agreements on first PUCCH were reached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51" w:type="dxa"/>
          </w:tcPr>
          <w:p>
            <w:pPr>
              <w:pStyle w:val="105"/>
              <w:snapToGrid w:val="0"/>
              <w:spacing w:before="60" w:after="60" w:afterAutospacing="0" w:line="240" w:lineRule="auto"/>
              <w:ind w:firstLine="0"/>
              <w:rPr>
                <w:rFonts w:cs="Times"/>
                <w:b/>
                <w:bCs/>
                <w:highlight w:val="green"/>
                <w:lang w:eastAsia="zh-CN"/>
              </w:rPr>
            </w:pPr>
            <w:r>
              <w:rPr>
                <w:rFonts w:eastAsia="等线"/>
                <w:b/>
                <w:bCs/>
                <w:u w:val="single"/>
                <w:lang w:val="en-US" w:eastAsia="zh-CN"/>
              </w:rPr>
              <w:t>Agreement</w:t>
            </w:r>
          </w:p>
          <w:p>
            <w:pPr>
              <w:adjustRightInd w:val="0"/>
              <w:snapToGrid w:val="0"/>
              <w:spacing w:before="72" w:beforeLines="30" w:after="72" w:afterLines="30" w:line="288" w:lineRule="auto"/>
              <w:jc w:val="both"/>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pPr>
              <w:pStyle w:val="111"/>
              <w:numPr>
                <w:ilvl w:val="0"/>
                <w:numId w:val="20"/>
              </w:numPr>
              <w:adjustRightInd w:val="0"/>
              <w:snapToGrid w:val="0"/>
              <w:spacing w:before="72" w:beforeLines="30" w:after="72" w:afterLines="30" w:line="288" w:lineRule="auto"/>
              <w:ind w:firstLine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pPr>
              <w:pStyle w:val="111"/>
              <w:numPr>
                <w:ilvl w:val="1"/>
                <w:numId w:val="20"/>
              </w:numPr>
              <w:adjustRightInd w:val="0"/>
              <w:snapToGrid w:val="0"/>
              <w:spacing w:before="72" w:beforeLines="30" w:after="72" w:afterLines="30" w:line="288" w:lineRule="auto"/>
              <w:ind w:firstLine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pPr>
              <w:pStyle w:val="111"/>
              <w:numPr>
                <w:ilvl w:val="2"/>
                <w:numId w:val="20"/>
              </w:numPr>
              <w:adjustRightInd w:val="0"/>
              <w:snapToGrid w:val="0"/>
              <w:spacing w:before="72" w:beforeLines="30" w:after="72" w:afterLines="30" w:line="288" w:lineRule="auto"/>
              <w:ind w:firstLineChars="0"/>
              <w:jc w:val="both"/>
              <w:rPr>
                <w:szCs w:val="20"/>
              </w:rPr>
            </w:pPr>
            <w:r>
              <w:rPr>
                <w:szCs w:val="20"/>
              </w:rPr>
              <w:t>Note: The detailed signaling is up to RAN2.</w:t>
            </w:r>
          </w:p>
          <w:p>
            <w:pPr>
              <w:pStyle w:val="111"/>
              <w:numPr>
                <w:ilvl w:val="0"/>
                <w:numId w:val="20"/>
              </w:numPr>
              <w:adjustRightInd w:val="0"/>
              <w:snapToGrid w:val="0"/>
              <w:spacing w:before="72" w:beforeLines="30" w:after="72" w:afterLines="30" w:line="288" w:lineRule="auto"/>
              <w:ind w:firstLine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rPr>
              <w:t>con</w:t>
            </w:r>
            <w:r>
              <w:rPr>
                <w:szCs w:val="20"/>
              </w:rPr>
              <w:t>figuration.</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 xml:space="preserve">Note: </w:t>
            </w:r>
            <w:r>
              <w:rPr>
                <w:rFonts w:hint="eastAsia"/>
                <w:szCs w:val="20"/>
              </w:rPr>
              <w:t>T</w:t>
            </w:r>
            <w:r>
              <w:rPr>
                <w:szCs w:val="20"/>
              </w:rPr>
              <w:t xml:space="preserve">he RRC parameter is NOT associated with </w:t>
            </w:r>
            <w:r>
              <w:rPr>
                <w:i/>
                <w:szCs w:val="20"/>
              </w:rPr>
              <w:t>SchedulingRequestId</w:t>
            </w:r>
            <w:r>
              <w:rPr>
                <w:szCs w:val="20"/>
              </w:rPr>
              <w:t xml:space="preserve">. </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 xml:space="preserve">FFS: how to </w:t>
            </w:r>
            <w:r>
              <w:rPr>
                <w:rFonts w:hint="eastAsia"/>
                <w:szCs w:val="20"/>
              </w:rPr>
              <w:t>encode 1-bit to PUCCH resource</w:t>
            </w:r>
            <w:r>
              <w:rPr>
                <w:rFonts w:hint="eastAsia"/>
                <w:szCs w:val="18"/>
              </w:rPr>
              <w:t>,</w:t>
            </w:r>
            <w:r>
              <w:rPr>
                <w:szCs w:val="18"/>
              </w:rPr>
              <w:t xml:space="preserve"> e.g., reuse encoding mechanism of positive/negative SR.</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The dedicated RRC parameter at least comprises the following:</w:t>
            </w:r>
          </w:p>
          <w:p>
            <w:pPr>
              <w:pStyle w:val="111"/>
              <w:numPr>
                <w:ilvl w:val="2"/>
                <w:numId w:val="20"/>
              </w:numPr>
              <w:adjustRightInd w:val="0"/>
              <w:snapToGrid w:val="0"/>
              <w:spacing w:before="72" w:beforeLines="30" w:after="72" w:afterLines="30" w:line="288" w:lineRule="auto"/>
              <w:ind w:firstLineChars="0"/>
              <w:jc w:val="both"/>
              <w:rPr>
                <w:i/>
                <w:szCs w:val="20"/>
              </w:rPr>
            </w:pPr>
            <w:r>
              <w:rPr>
                <w:i/>
                <w:szCs w:val="20"/>
              </w:rPr>
              <w:t>periodicityAndOffset</w:t>
            </w:r>
          </w:p>
          <w:p>
            <w:pPr>
              <w:pStyle w:val="111"/>
              <w:numPr>
                <w:ilvl w:val="2"/>
                <w:numId w:val="20"/>
              </w:numPr>
              <w:adjustRightInd w:val="0"/>
              <w:snapToGrid w:val="0"/>
              <w:spacing w:before="72" w:beforeLines="30" w:after="72" w:afterLines="30" w:line="288" w:lineRule="auto"/>
              <w:ind w:firstLineChars="0"/>
              <w:jc w:val="both"/>
              <w:rPr>
                <w:i/>
                <w:szCs w:val="20"/>
              </w:rPr>
            </w:pPr>
            <w:r>
              <w:rPr>
                <w:i/>
                <w:szCs w:val="20"/>
              </w:rPr>
              <w:t xml:space="preserve">PUCCH-ResourceID </w:t>
            </w:r>
          </w:p>
          <w:p>
            <w:pPr>
              <w:pStyle w:val="111"/>
              <w:numPr>
                <w:ilvl w:val="0"/>
                <w:numId w:val="20"/>
              </w:numPr>
              <w:adjustRightInd w:val="0"/>
              <w:snapToGrid w:val="0"/>
              <w:spacing w:before="72" w:beforeLines="30" w:after="72" w:afterLines="30" w:line="288" w:lineRule="auto"/>
              <w:ind w:firstLineChars="0"/>
              <w:jc w:val="both"/>
            </w:pPr>
            <w:r>
              <w:rPr>
                <w:color w:val="000000"/>
                <w:szCs w:val="20"/>
              </w:rPr>
              <w:t>Above applies at least for the single CC case.</w:t>
            </w:r>
          </w:p>
          <w:p>
            <w:pPr>
              <w:pStyle w:val="105"/>
              <w:snapToGrid w:val="0"/>
              <w:spacing w:before="60" w:after="60" w:afterAutospacing="0" w:line="240" w:lineRule="auto"/>
              <w:ind w:firstLine="0"/>
              <w:rPr>
                <w:rFonts w:cs="Times"/>
                <w:b/>
                <w:bCs/>
                <w:highlight w:val="green"/>
                <w:lang w:eastAsia="zh-CN"/>
              </w:rPr>
            </w:pPr>
            <w:r>
              <w:rPr>
                <w:rFonts w:eastAsia="等线"/>
                <w:b/>
                <w:bCs/>
                <w:u w:val="single"/>
                <w:lang w:val="en-US" w:eastAsia="zh-CN"/>
              </w:rPr>
              <w:t>Agreement</w:t>
            </w:r>
          </w:p>
          <w:p>
            <w:pPr>
              <w:adjustRightInd w:val="0"/>
              <w:snapToGrid w:val="0"/>
              <w:spacing w:before="72" w:beforeLines="30" w:after="72" w:afterLines="30" w:line="288" w:lineRule="auto"/>
              <w:jc w:val="both"/>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pPr>
              <w:pStyle w:val="111"/>
              <w:numPr>
                <w:ilvl w:val="0"/>
                <w:numId w:val="20"/>
              </w:numPr>
              <w:adjustRightInd w:val="0"/>
              <w:snapToGrid w:val="0"/>
              <w:spacing w:before="72" w:beforeLines="30" w:after="72" w:afterLines="30" w:line="288" w:lineRule="auto"/>
              <w:ind w:firstLine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pPr>
              <w:pStyle w:val="111"/>
              <w:numPr>
                <w:ilvl w:val="1"/>
                <w:numId w:val="20"/>
              </w:numPr>
              <w:adjustRightInd w:val="0"/>
              <w:snapToGrid w:val="0"/>
              <w:spacing w:before="72" w:beforeLines="30" w:after="72" w:afterLines="30" w:line="288" w:lineRule="auto"/>
              <w:ind w:firstLine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pPr>
              <w:pStyle w:val="111"/>
              <w:numPr>
                <w:ilvl w:val="2"/>
                <w:numId w:val="20"/>
              </w:numPr>
              <w:adjustRightInd w:val="0"/>
              <w:snapToGrid w:val="0"/>
              <w:spacing w:before="72" w:beforeLines="30" w:after="72" w:afterLines="30" w:line="288" w:lineRule="auto"/>
              <w:ind w:firstLineChars="0"/>
              <w:jc w:val="both"/>
              <w:rPr>
                <w:szCs w:val="20"/>
              </w:rPr>
            </w:pPr>
            <w:r>
              <w:rPr>
                <w:szCs w:val="20"/>
              </w:rPr>
              <w:t>Note: The detailed signaling is up to RAN2.</w:t>
            </w:r>
          </w:p>
          <w:p>
            <w:pPr>
              <w:pStyle w:val="111"/>
              <w:numPr>
                <w:ilvl w:val="0"/>
                <w:numId w:val="20"/>
              </w:numPr>
              <w:adjustRightInd w:val="0"/>
              <w:snapToGrid w:val="0"/>
              <w:spacing w:before="72" w:beforeLines="30" w:after="72" w:afterLines="30" w:line="288" w:lineRule="auto"/>
              <w:ind w:firstLine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rPr>
              <w:t>con</w:t>
            </w:r>
            <w:r>
              <w:rPr>
                <w:szCs w:val="20"/>
              </w:rPr>
              <w:t>figuration.</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 xml:space="preserve">Note: </w:t>
            </w:r>
            <w:r>
              <w:rPr>
                <w:rFonts w:hint="eastAsia"/>
                <w:szCs w:val="20"/>
              </w:rPr>
              <w:t>T</w:t>
            </w:r>
            <w:r>
              <w:rPr>
                <w:szCs w:val="20"/>
              </w:rPr>
              <w:t xml:space="preserve">he RRC parameter is NOT associated with </w:t>
            </w:r>
            <w:r>
              <w:rPr>
                <w:i/>
                <w:szCs w:val="20"/>
              </w:rPr>
              <w:t>SchedulingRequestId</w:t>
            </w:r>
            <w:r>
              <w:rPr>
                <w:szCs w:val="20"/>
              </w:rPr>
              <w:t xml:space="preserve">. </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 xml:space="preserve">FFS: how to </w:t>
            </w:r>
            <w:r>
              <w:rPr>
                <w:rFonts w:hint="eastAsia"/>
                <w:szCs w:val="20"/>
              </w:rPr>
              <w:t>encode 1-bit to PUCCH resource</w:t>
            </w:r>
            <w:r>
              <w:rPr>
                <w:rFonts w:hint="eastAsia"/>
                <w:szCs w:val="18"/>
              </w:rPr>
              <w:t>,</w:t>
            </w:r>
            <w:r>
              <w:rPr>
                <w:szCs w:val="18"/>
              </w:rPr>
              <w:t xml:space="preserve"> e.g., reuse encoding mechanism of positive/negative SR.</w:t>
            </w:r>
          </w:p>
          <w:p>
            <w:pPr>
              <w:pStyle w:val="111"/>
              <w:numPr>
                <w:ilvl w:val="1"/>
                <w:numId w:val="20"/>
              </w:numPr>
              <w:adjustRightInd w:val="0"/>
              <w:snapToGrid w:val="0"/>
              <w:spacing w:before="72" w:beforeLines="30" w:after="72" w:afterLines="30" w:line="288" w:lineRule="auto"/>
              <w:ind w:firstLineChars="0"/>
              <w:jc w:val="both"/>
              <w:rPr>
                <w:szCs w:val="20"/>
              </w:rPr>
            </w:pPr>
            <w:r>
              <w:rPr>
                <w:szCs w:val="20"/>
              </w:rPr>
              <w:t>The dedicated RRC parameter at least comprises the following:</w:t>
            </w:r>
          </w:p>
          <w:p>
            <w:pPr>
              <w:pStyle w:val="111"/>
              <w:numPr>
                <w:ilvl w:val="2"/>
                <w:numId w:val="20"/>
              </w:numPr>
              <w:adjustRightInd w:val="0"/>
              <w:snapToGrid w:val="0"/>
              <w:spacing w:before="72" w:beforeLines="30" w:after="72" w:afterLines="30" w:line="288" w:lineRule="auto"/>
              <w:ind w:firstLineChars="0"/>
              <w:jc w:val="both"/>
              <w:rPr>
                <w:i/>
                <w:szCs w:val="20"/>
              </w:rPr>
            </w:pPr>
            <w:r>
              <w:rPr>
                <w:i/>
                <w:szCs w:val="20"/>
              </w:rPr>
              <w:t>periodicityAndOffset</w:t>
            </w:r>
          </w:p>
          <w:p>
            <w:pPr>
              <w:pStyle w:val="111"/>
              <w:numPr>
                <w:ilvl w:val="2"/>
                <w:numId w:val="20"/>
              </w:numPr>
              <w:adjustRightInd w:val="0"/>
              <w:snapToGrid w:val="0"/>
              <w:spacing w:before="72" w:beforeLines="30" w:after="72" w:afterLines="30" w:line="288" w:lineRule="auto"/>
              <w:ind w:firstLineChars="0"/>
              <w:jc w:val="both"/>
              <w:rPr>
                <w:i/>
                <w:szCs w:val="20"/>
              </w:rPr>
            </w:pPr>
            <w:r>
              <w:rPr>
                <w:i/>
                <w:szCs w:val="20"/>
              </w:rPr>
              <w:t xml:space="preserve">PUCCH-ResourceID </w:t>
            </w:r>
          </w:p>
          <w:p>
            <w:pPr>
              <w:pStyle w:val="111"/>
              <w:numPr>
                <w:ilvl w:val="0"/>
                <w:numId w:val="20"/>
              </w:numPr>
              <w:adjustRightInd w:val="0"/>
              <w:snapToGrid w:val="0"/>
              <w:spacing w:before="72" w:beforeLines="30" w:after="72" w:afterLines="30" w:line="288" w:lineRule="auto"/>
              <w:ind w:firstLineChars="0"/>
              <w:jc w:val="both"/>
              <w:rPr>
                <w:szCs w:val="20"/>
              </w:rPr>
            </w:pPr>
            <w:r>
              <w:rPr>
                <w:color w:val="000000"/>
                <w:szCs w:val="20"/>
              </w:rPr>
              <w:t>Above applies at least for the single CC case.</w:t>
            </w:r>
          </w:p>
          <w:p>
            <w:pPr>
              <w:pStyle w:val="105"/>
              <w:snapToGrid w:val="0"/>
              <w:spacing w:before="60" w:after="60" w:afterAutospacing="0" w:line="240" w:lineRule="auto"/>
              <w:ind w:firstLine="0"/>
              <w:rPr>
                <w:b/>
                <w:bCs/>
                <w:lang w:val="en-US"/>
              </w:rPr>
            </w:pPr>
            <w:r>
              <w:rPr>
                <w:rFonts w:eastAsia="等线"/>
                <w:b/>
                <w:bCs/>
                <w:u w:val="single"/>
                <w:lang w:val="en-US" w:eastAsia="zh-CN"/>
              </w:rPr>
              <w:t>Agreement</w:t>
            </w:r>
          </w:p>
          <w:p>
            <w:pPr>
              <w:adjustRightInd w:val="0"/>
              <w:snapToGrid w:val="0"/>
              <w:spacing w:before="72" w:beforeLines="30" w:after="72" w:afterLines="30" w:line="288" w:lineRule="auto"/>
              <w:rPr>
                <w:rFonts w:eastAsia="PMingLiU"/>
                <w:color w:val="000000"/>
                <w:szCs w:val="18"/>
                <w:lang w:eastAsia="zh-TW"/>
              </w:rPr>
            </w:pPr>
            <w:r>
              <w:rPr>
                <w:rFonts w:eastAsia="PMingLiU"/>
                <w:color w:val="000000"/>
                <w:szCs w:val="18"/>
                <w:shd w:val="clear" w:color="auto" w:fill="FFFFFF"/>
                <w:lang w:eastAsia="zh-TW"/>
              </w:rPr>
              <w:t xml:space="preserve">On beam report transmission procedure for UE-initiated/event-driven beam reporting, regarding </w:t>
            </w:r>
            <w:r>
              <w:rPr>
                <w:rFonts w:eastAsia="PMingLiU"/>
                <w:b/>
                <w:bCs/>
                <w:color w:val="000000"/>
                <w:szCs w:val="18"/>
                <w:shd w:val="clear" w:color="auto" w:fill="FFFFFF"/>
                <w:lang w:eastAsia="zh-TW"/>
              </w:rPr>
              <w:t>Mode-A and/or Mode-B</w:t>
            </w:r>
            <w:r>
              <w:rPr>
                <w:rFonts w:eastAsia="PMingLiU"/>
                <w:color w:val="000000"/>
                <w:szCs w:val="18"/>
                <w:shd w:val="clear" w:color="auto" w:fill="FFFFFF"/>
                <w:lang w:eastAsia="zh-TW"/>
              </w:rPr>
              <w:t>, further study the following for first PUCCH transmission</w:t>
            </w:r>
          </w:p>
          <w:p>
            <w:pPr>
              <w:numPr>
                <w:ilvl w:val="0"/>
                <w:numId w:val="21"/>
              </w:numPr>
              <w:adjustRightInd w:val="0"/>
              <w:snapToGrid w:val="0"/>
              <w:spacing w:before="72" w:beforeLines="30" w:after="72" w:afterLines="30" w:line="288" w:lineRule="auto"/>
              <w:textAlignment w:val="center"/>
              <w:rPr>
                <w:szCs w:val="20"/>
              </w:rPr>
            </w:pPr>
            <w:r>
              <w:rPr>
                <w:rFonts w:eastAsia="PMingLiU"/>
                <w:szCs w:val="18"/>
                <w:shd w:val="clear" w:color="auto" w:fill="FFFFFF"/>
                <w:lang w:eastAsia="zh-TW"/>
              </w:rPr>
              <w:t>UCI multiplexing/dropping/prioritization rule</w:t>
            </w:r>
          </w:p>
          <w:p>
            <w:pPr>
              <w:numPr>
                <w:ilvl w:val="0"/>
                <w:numId w:val="21"/>
              </w:numPr>
              <w:adjustRightInd w:val="0"/>
              <w:snapToGrid w:val="0"/>
              <w:spacing w:before="72" w:beforeLines="30" w:after="72" w:afterLines="30" w:line="288" w:lineRule="auto"/>
              <w:textAlignment w:val="center"/>
              <w:rPr>
                <w:szCs w:val="20"/>
              </w:rPr>
            </w:pPr>
            <w:r>
              <w:rPr>
                <w:szCs w:val="20"/>
              </w:rPr>
              <w:t>Conditions for the transmission of the first PUCCH.</w:t>
            </w:r>
          </w:p>
          <w:p>
            <w:pPr>
              <w:numPr>
                <w:ilvl w:val="0"/>
                <w:numId w:val="22"/>
              </w:numPr>
              <w:adjustRightInd w:val="0"/>
              <w:snapToGrid w:val="0"/>
              <w:spacing w:before="72" w:beforeLines="30" w:after="72" w:afterLines="30" w:line="288" w:lineRule="auto"/>
              <w:textAlignment w:val="center"/>
              <w:rPr>
                <w:rFonts w:ascii="Calibri" w:hAnsi="Calibri" w:eastAsia="PMingLiU" w:cs="Calibri"/>
                <w:szCs w:val="18"/>
                <w:lang w:eastAsia="zh-TW"/>
              </w:rPr>
            </w:pPr>
            <w:r>
              <w:rPr>
                <w:rFonts w:eastAsia="PMingLiU"/>
                <w:szCs w:val="18"/>
                <w:shd w:val="clear" w:color="auto" w:fill="FFFFFF"/>
                <w:lang w:eastAsia="zh-TW"/>
              </w:rPr>
              <w:t xml:space="preserve">Whether the </w:t>
            </w:r>
            <w:bookmarkStart w:id="1" w:name="OLE_LINK1"/>
            <w:r>
              <w:rPr>
                <w:rFonts w:eastAsia="PMingLiU"/>
                <w:szCs w:val="18"/>
                <w:shd w:val="clear" w:color="auto" w:fill="FFFFFF"/>
                <w:lang w:eastAsia="zh-TW"/>
              </w:rPr>
              <w:t>PUCCH resource in the first PUCCH channel can be associated with multiple CSI report configurations for UE-initiated/event-driven beam reporting from one or multiple CC(s)</w:t>
            </w:r>
            <w:bookmarkEnd w:id="1"/>
            <w:r>
              <w:rPr>
                <w:rFonts w:eastAsia="PMingLiU"/>
                <w:szCs w:val="18"/>
                <w:shd w:val="clear" w:color="auto" w:fill="FFFFFF"/>
                <w:lang w:eastAsia="zh-TW"/>
              </w:rPr>
              <w:t>.</w:t>
            </w:r>
          </w:p>
          <w:p>
            <w:pPr>
              <w:numPr>
                <w:ilvl w:val="0"/>
                <w:numId w:val="23"/>
              </w:numPr>
              <w:adjustRightInd w:val="0"/>
              <w:snapToGrid w:val="0"/>
              <w:spacing w:before="72" w:beforeLines="30" w:after="72" w:afterLines="30" w:line="288" w:lineRule="auto"/>
              <w:textAlignment w:val="center"/>
              <w:rPr>
                <w:rFonts w:ascii="Calibri" w:hAnsi="Calibri" w:eastAsia="PMingLiU" w:cs="Calibri"/>
                <w:szCs w:val="18"/>
                <w:lang w:eastAsia="zh-TW"/>
              </w:rPr>
            </w:pPr>
            <w:r>
              <w:rPr>
                <w:rFonts w:eastAsia="PMingLiU"/>
                <w:color w:val="000000"/>
                <w:szCs w:val="18"/>
                <w:shd w:val="clear" w:color="auto" w:fill="FFFFFF"/>
                <w:lang w:eastAsia="zh-TW"/>
              </w:rPr>
              <w:t>Whether/how to re-transmit the first PUCCH channel.</w:t>
            </w:r>
          </w:p>
          <w:p>
            <w:pPr>
              <w:adjustRightInd w:val="0"/>
              <w:snapToGrid w:val="0"/>
              <w:spacing w:before="72" w:beforeLines="30" w:after="72" w:afterLines="30" w:line="288" w:lineRule="auto"/>
              <w:jc w:val="both"/>
              <w:rPr>
                <w:szCs w:val="20"/>
              </w:rPr>
            </w:pPr>
            <w:r>
              <w:rPr>
                <w:rFonts w:eastAsia="PMingLiU"/>
                <w:color w:val="000000"/>
                <w:szCs w:val="18"/>
                <w:shd w:val="clear" w:color="auto" w:fill="FFFFFF"/>
                <w:lang w:eastAsia="zh-TW"/>
              </w:rPr>
              <w:t>Whether/how to apply prohibit-timer or maximum number of (re)transmission(s) for first PUCCH channel.</w:t>
            </w:r>
          </w:p>
        </w:tc>
      </w:tr>
    </w:tbl>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Issue-1: Prohibition and retransmission of the first PUCCH transmission</w:t>
      </w:r>
    </w:p>
    <w:p>
      <w:pPr>
        <w:pStyle w:val="111"/>
        <w:widowControl w:val="0"/>
        <w:spacing w:before="72" w:beforeLines="30" w:after="72" w:afterLines="30" w:line="288" w:lineRule="auto"/>
        <w:ind w:firstLine="0" w:firstLineChars="0"/>
        <w:jc w:val="both"/>
        <w:rPr>
          <w:rFonts w:eastAsia="宋体"/>
        </w:rPr>
      </w:pPr>
      <w:r>
        <w:rPr>
          <w:rFonts w:hint="eastAsia" w:eastAsia="宋体"/>
        </w:rPr>
        <w:t xml:space="preserve">In legacy, upon triggering of an SR, the UE transmits the positive SR on a valid PUCCH resource when the prohibit timer is not running. Before the SR is canceled, UE can transmit the SR until the number of transmissions reaches the maximum value. Herein, the prohibit timer </w:t>
      </w:r>
      <w:r>
        <w:rPr>
          <w:rFonts w:eastAsia="宋体"/>
        </w:rPr>
        <w:t>can be used</w:t>
      </w:r>
      <w:r>
        <w:rPr>
          <w:rFonts w:hint="eastAsia" w:eastAsia="宋体"/>
        </w:rPr>
        <w:t xml:space="preserve"> to avoid frequent SR transmissions in consecutive transmission occasions. The SR is canceled when the uplink transmission requesting uplink resource can be transmitted on an available resource, e.g., when UL grant(s) can accommodate all pending data available for transmission, or when a MAC PDU including a MAC CE for BFR is transmitted. Similarly, the first PUCCH transmission should be applied the prohibition mechanism, especially </w:t>
      </w:r>
      <w:r>
        <w:rPr>
          <w:rFonts w:eastAsia="宋体"/>
        </w:rPr>
        <w:t>when</w:t>
      </w:r>
      <w:r>
        <w:rPr>
          <w:rFonts w:hint="eastAsia" w:eastAsia="宋体"/>
        </w:rPr>
        <w:t xml:space="preserve"> it is associated with an SR (Alt-1).</w:t>
      </w:r>
    </w:p>
    <w:p>
      <w:pPr>
        <w:snapToGrid w:val="0"/>
        <w:spacing w:before="72" w:beforeLines="30" w:after="72" w:afterLines="30" w:line="288" w:lineRule="auto"/>
        <w:jc w:val="both"/>
        <w:rPr>
          <w:rFonts w:eastAsia="宋体"/>
        </w:rPr>
      </w:pPr>
      <w:r>
        <w:rPr>
          <w:rFonts w:hint="eastAsia" w:eastAsia="宋体"/>
        </w:rPr>
        <w:t xml:space="preserve">In Mode A, </w:t>
      </w:r>
      <w:r>
        <w:rPr>
          <w:rFonts w:eastAsia="宋体"/>
        </w:rPr>
        <w:t xml:space="preserve">given that </w:t>
      </w:r>
      <w:r>
        <w:rPr>
          <w:rFonts w:hint="eastAsia" w:eastAsia="宋体"/>
        </w:rPr>
        <w:t xml:space="preserve">the second UL channel to accommodate UEI beam reports is scheduled by the DCI format, </w:t>
      </w:r>
      <w:r>
        <w:rPr>
          <w:rFonts w:eastAsia="宋体"/>
        </w:rPr>
        <w:t>it is vital to enable</w:t>
      </w:r>
      <w:r>
        <w:rPr>
          <w:rFonts w:hint="eastAsia" w:eastAsia="宋体"/>
        </w:rPr>
        <w:t xml:space="preserve"> multiple transmissions of the first PUCCH to continuously request the second UL channel before UE receiving the DCI format. Meanwhile, the prohibition mechanism can be reused to avoid frequent and redundant uplink resource request. The UE may cancel the first PUCCH transmission when the DCI format is received or when the corresponding UEIBR is transmitted, where the latter condition is mostly aligned with the legacy design.</w:t>
      </w:r>
    </w:p>
    <w:p>
      <w:pPr>
        <w:snapToGrid w:val="0"/>
        <w:spacing w:before="72" w:beforeLines="30" w:after="72" w:afterLines="30" w:line="288" w:lineRule="auto"/>
        <w:jc w:val="both"/>
        <w:rPr>
          <w:rFonts w:eastAsia="宋体"/>
        </w:rPr>
      </w:pPr>
      <w:r>
        <w:rPr>
          <w:rFonts w:hint="eastAsia" w:eastAsia="宋体"/>
        </w:rPr>
        <w:t xml:space="preserve">In Mode B, the UE can always determine a valid transmission occasion of the second UL channel after the transmission of first PUCCH. However, since the periodicity of the first PUCCH and second UL channel can be different or the second UL channel may be dropped in case of collisions, the time gap between the valid transmission occasions of the first PUCCH and second UL channel may be quite large. To mitigate such </w:t>
      </w:r>
      <w:r>
        <w:rPr>
          <w:rFonts w:eastAsia="宋体"/>
        </w:rPr>
        <w:t>impact</w:t>
      </w:r>
      <w:r>
        <w:rPr>
          <w:rFonts w:hint="eastAsia" w:eastAsia="宋体"/>
        </w:rPr>
        <w:t>, supporting multiple transmissions of the first PUCCH before a valid transmission occasion of the second UL channel can effectively avoid the large time gap.</w:t>
      </w:r>
    </w:p>
    <w:p>
      <w:pPr>
        <w:snapToGrid w:val="0"/>
        <w:spacing w:before="72" w:beforeLines="30" w:after="72" w:afterLines="30" w:line="288" w:lineRule="auto"/>
        <w:jc w:val="both"/>
        <w:rPr>
          <w:rFonts w:eastAsia="宋体"/>
        </w:rPr>
      </w:pPr>
      <w:r>
        <w:rPr>
          <w:rFonts w:hint="eastAsia" w:eastAsia="宋体"/>
        </w:rPr>
        <w:t>Additionally, it should be noted that if the first PUCCH is not received successfully by the network, the subsequent second UL channel cannot be decoded successfully either. If the triggered beam report is canceled upon the single UEIBR transmission and the UEIBR transmission is not received successfully, UE can transmit the beam report after a new round of event instance counting, leading to a giant report latency. Consequently, multiple transmissions of the first PUCCH and second UL channel should be supported.</w:t>
      </w:r>
    </w:p>
    <w:p>
      <w:pPr>
        <w:snapToGrid w:val="0"/>
        <w:spacing w:before="72" w:beforeLines="30" w:after="72" w:afterLines="30" w:line="288" w:lineRule="auto"/>
        <w:jc w:val="both"/>
        <w:rPr>
          <w:rFonts w:eastAsia="宋体"/>
        </w:rPr>
      </w:pPr>
      <w:r>
        <w:rPr>
          <w:rFonts w:hint="eastAsia" w:eastAsia="宋体"/>
        </w:rPr>
        <w:t>For legacy SR, when the maximum number of SR transmission(s) for a given SR configuration is reached, the UE initiates random access procedure and clears the uplink and downlink grants. The necessity of reusing the same design for first PUCCH needs further discussion.</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8:</w:t>
      </w:r>
      <w:r>
        <w:rPr>
          <w:rFonts w:hint="eastAsia" w:eastAsia="宋体"/>
          <w:i/>
          <w:iCs/>
        </w:rPr>
        <w:t xml:space="preserve"> Regarding transmission of the first PUCCH in response to triggering of a UE-initiated beam report in both Mode-A and Mode-B, support to apply a prohibit-timer for first PUCCH channel.</w:t>
      </w:r>
    </w:p>
    <w:p>
      <w:pPr>
        <w:numPr>
          <w:ilvl w:val="0"/>
          <w:numId w:val="12"/>
        </w:numPr>
        <w:snapToGrid w:val="0"/>
        <w:spacing w:before="72" w:beforeLines="30" w:after="72" w:afterLines="30" w:line="288" w:lineRule="auto"/>
        <w:jc w:val="both"/>
        <w:rPr>
          <w:rFonts w:eastAsia="宋体"/>
          <w:i/>
          <w:iCs/>
        </w:rPr>
      </w:pPr>
      <w:r>
        <w:rPr>
          <w:rFonts w:hint="eastAsia" w:eastAsia="宋体"/>
          <w:i/>
          <w:iCs/>
        </w:rPr>
        <w:t>UE transmits the first PUCCH in a valid uplink resource when the first PUCCH is triggered and the prohibit-timer is not running.</w:t>
      </w:r>
    </w:p>
    <w:p>
      <w:pPr>
        <w:numPr>
          <w:ilvl w:val="0"/>
          <w:numId w:val="12"/>
        </w:numPr>
        <w:snapToGrid w:val="0"/>
        <w:spacing w:before="72" w:beforeLines="30" w:after="72" w:afterLines="30" w:line="288" w:lineRule="auto"/>
        <w:jc w:val="both"/>
        <w:rPr>
          <w:rFonts w:eastAsia="宋体"/>
          <w:i/>
          <w:iCs/>
        </w:rPr>
      </w:pPr>
      <w:r>
        <w:rPr>
          <w:rFonts w:hint="eastAsia" w:eastAsia="宋体"/>
          <w:i/>
          <w:iCs/>
        </w:rPr>
        <w:t>FFS: Details of starting or stopping the prohibit-timer in Mode A and Mode-B.</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FFS: Whether/how to apply the maximum number of transmission(s) for first PUCCH channel. </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Issue-2: RRC signaling for first PUCCH channel configuration</w:t>
      </w:r>
    </w:p>
    <w:p>
      <w:pPr>
        <w:pStyle w:val="111"/>
        <w:snapToGrid w:val="0"/>
        <w:spacing w:before="72" w:beforeLines="30" w:after="72" w:afterLines="30" w:line="288" w:lineRule="auto"/>
        <w:ind w:firstLine="0" w:firstLineChars="0"/>
        <w:jc w:val="both"/>
        <w:rPr>
          <w:rFonts w:eastAsia="宋体"/>
        </w:rPr>
      </w:pPr>
      <w:r>
        <w:rPr>
          <w:rFonts w:hint="eastAsia" w:eastAsia="宋体"/>
        </w:rPr>
        <w:t>Despite the distinct purposes of the first PUCCH in Mode A and Mode B</w:t>
      </w:r>
      <w:r>
        <w:rPr>
          <w:rFonts w:eastAsia="宋体"/>
        </w:rPr>
        <w:t xml:space="preserve"> is somehow different</w:t>
      </w:r>
      <w:r>
        <w:rPr>
          <w:rFonts w:hint="eastAsia" w:eastAsia="宋体"/>
        </w:rPr>
        <w:t xml:space="preserve">, Mode A is intended for requesting an uplink resource for beam reporting and Mode B serves to signify the presence of an UL resource, it </w:t>
      </w:r>
      <w:r>
        <w:rPr>
          <w:rFonts w:eastAsia="宋体"/>
        </w:rPr>
        <w:t>can</w:t>
      </w:r>
      <w:r>
        <w:rPr>
          <w:rFonts w:hint="eastAsia" w:eastAsia="宋体"/>
        </w:rPr>
        <w:t xml:space="preserve"> treat the first PUCCH in both modes as an SR in order to strive for a unified design and avoid the complexity of introducing a brand-new UCI type.</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Compared with reusing and modifying the existing SR, introducing a new type of UCI </w:t>
      </w:r>
      <w:r>
        <w:rPr>
          <w:rFonts w:eastAsia="宋体"/>
        </w:rPr>
        <w:t xml:space="preserve">may </w:t>
      </w:r>
      <w:r>
        <w:rPr>
          <w:rFonts w:hint="eastAsia" w:eastAsia="宋体"/>
        </w:rPr>
        <w:t xml:space="preserve">result in too heavy specification efforts, </w:t>
      </w:r>
      <w:r>
        <w:rPr>
          <w:rFonts w:eastAsia="宋体"/>
        </w:rPr>
        <w:t xml:space="preserve">which </w:t>
      </w:r>
      <w:r>
        <w:rPr>
          <w:rFonts w:hint="eastAsia" w:eastAsia="宋体"/>
        </w:rPr>
        <w:t>includ</w:t>
      </w:r>
      <w:r>
        <w:rPr>
          <w:rFonts w:eastAsia="宋体"/>
        </w:rPr>
        <w:t>es</w:t>
      </w:r>
      <w:r>
        <w:rPr>
          <w:rFonts w:hint="eastAsia" w:eastAsia="宋体"/>
        </w:rPr>
        <w:t xml:space="preserve"> signaling design, RRC configuration, multiplexing, etc. Such extensive efforts should be </w:t>
      </w:r>
      <w:r>
        <w:rPr>
          <w:rFonts w:eastAsia="宋体"/>
        </w:rPr>
        <w:t>avoided</w:t>
      </w:r>
      <w:r>
        <w:rPr>
          <w:rFonts w:hint="eastAsia" w:eastAsia="宋体"/>
        </w:rPr>
        <w: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9:</w:t>
      </w:r>
      <w:r>
        <w:rPr>
          <w:rFonts w:hint="eastAsia" w:eastAsia="宋体"/>
          <w:i/>
          <w:iCs/>
        </w:rPr>
        <w:t xml:space="preserve"> </w:t>
      </w:r>
      <w:r>
        <w:rPr>
          <w:rFonts w:eastAsia="Times New Roman"/>
          <w:i/>
          <w:iCs/>
          <w:color w:val="000000"/>
          <w:szCs w:val="20"/>
        </w:rPr>
        <w:t xml:space="preserve">On beam report transmission procedure for </w:t>
      </w:r>
      <w:r>
        <w:rPr>
          <w:i/>
          <w:iCs/>
          <w:szCs w:val="20"/>
        </w:rPr>
        <w:t>UE-initiated/event-driven beam report</w:t>
      </w:r>
      <w:r>
        <w:rPr>
          <w:rFonts w:eastAsia="Times New Roman"/>
          <w:i/>
          <w:iCs/>
          <w:color w:val="000000"/>
          <w:szCs w:val="20"/>
        </w:rPr>
        <w:t>ing, </w:t>
      </w:r>
      <w:r>
        <w:rPr>
          <w:rFonts w:hint="eastAsia" w:eastAsia="宋体"/>
          <w:i/>
          <w:iCs/>
          <w:color w:val="000000"/>
          <w:szCs w:val="20"/>
        </w:rPr>
        <w:t xml:space="preserve">regarding </w:t>
      </w:r>
      <w:r>
        <w:rPr>
          <w:rFonts w:hint="eastAsia" w:eastAsia="Times New Roman"/>
          <w:i/>
          <w:iCs/>
          <w:color w:val="000000"/>
          <w:szCs w:val="20"/>
        </w:rPr>
        <w:t>the first PUCCH carr</w:t>
      </w:r>
      <w:r>
        <w:rPr>
          <w:rFonts w:hint="eastAsia" w:eastAsia="宋体"/>
          <w:i/>
          <w:iCs/>
          <w:color w:val="000000"/>
          <w:szCs w:val="20"/>
        </w:rPr>
        <w:t>y</w:t>
      </w:r>
      <w:r>
        <w:rPr>
          <w:rFonts w:hint="eastAsia" w:eastAsia="Times New Roman"/>
          <w:i/>
          <w:iCs/>
          <w:color w:val="000000"/>
          <w:szCs w:val="20"/>
        </w:rPr>
        <w:t>i</w:t>
      </w:r>
      <w:r>
        <w:rPr>
          <w:rFonts w:hint="eastAsia" w:eastAsia="宋体"/>
          <w:i/>
          <w:iCs/>
          <w:color w:val="000000"/>
          <w:szCs w:val="20"/>
        </w:rPr>
        <w:t>ng</w:t>
      </w:r>
      <w:r>
        <w:rPr>
          <w:rFonts w:hint="eastAsia" w:eastAsia="Times New Roman"/>
          <w:i/>
          <w:iCs/>
          <w:color w:val="000000"/>
          <w:szCs w:val="20"/>
        </w:rPr>
        <w:t xml:space="preserve"> 1</w:t>
      </w:r>
      <w:r>
        <w:rPr>
          <w:rFonts w:hint="eastAsia" w:eastAsia="宋体"/>
          <w:i/>
          <w:iCs/>
          <w:color w:val="000000"/>
          <w:szCs w:val="20"/>
        </w:rPr>
        <w:t xml:space="preserve"> </w:t>
      </w:r>
      <w:r>
        <w:rPr>
          <w:rFonts w:hint="eastAsia" w:eastAsia="Times New Roman"/>
          <w:i/>
          <w:iCs/>
          <w:color w:val="000000"/>
          <w:szCs w:val="20"/>
        </w:rPr>
        <w:t>bit information</w:t>
      </w:r>
      <w:r>
        <w:rPr>
          <w:rFonts w:hint="eastAsia" w:eastAsia="宋体"/>
          <w:i/>
          <w:iCs/>
          <w:color w:val="000000"/>
          <w:szCs w:val="20"/>
        </w:rPr>
        <w:t xml:space="preserve"> for both Mode A and Mode B, support Alt-1.</w:t>
      </w:r>
    </w:p>
    <w:p>
      <w:pPr>
        <w:numPr>
          <w:ilvl w:val="0"/>
          <w:numId w:val="12"/>
        </w:numPr>
        <w:snapToGrid w:val="0"/>
        <w:spacing w:before="72" w:beforeLines="30" w:after="72" w:afterLines="30" w:line="288" w:lineRule="auto"/>
        <w:jc w:val="both"/>
        <w:rPr>
          <w:rFonts w:eastAsia="宋体"/>
          <w:i/>
          <w:iCs/>
          <w:color w:val="000000"/>
          <w:szCs w:val="20"/>
        </w:rPr>
      </w:pPr>
      <w:r>
        <w:rPr>
          <w:rFonts w:hint="eastAsia" w:eastAsia="宋体"/>
          <w:i/>
          <w:iCs/>
        </w:rPr>
        <w:t>Alt-1 (dedicated SR for mode-A): Introduce RRC parameter, e.g., reportResourceRequest-UEIBR, corresponding to the one-bit indication in the first PUCCH channel</w:t>
      </w:r>
    </w:p>
    <w:p>
      <w:pPr>
        <w:numPr>
          <w:ilvl w:val="1"/>
          <w:numId w:val="12"/>
        </w:numPr>
        <w:snapToGrid w:val="0"/>
        <w:spacing w:before="72" w:beforeLines="30" w:after="72" w:afterLines="30" w:line="288" w:lineRule="auto"/>
        <w:jc w:val="both"/>
        <w:rPr>
          <w:rFonts w:eastAsia="宋体"/>
          <w:i/>
          <w:iCs/>
          <w:color w:val="000000"/>
          <w:szCs w:val="20"/>
        </w:rPr>
      </w:pPr>
      <w:r>
        <w:rPr>
          <w:rFonts w:eastAsia="宋体"/>
          <w:i/>
          <w:iCs/>
          <w:color w:val="000000"/>
          <w:szCs w:val="20"/>
        </w:rPr>
        <w:t>The RRC parameter is associated with the dedicated SchedulingRequestId.</w:t>
      </w:r>
    </w:p>
    <w:p>
      <w:pPr>
        <w:numPr>
          <w:ilvl w:val="2"/>
          <w:numId w:val="12"/>
        </w:numPr>
        <w:snapToGrid w:val="0"/>
        <w:spacing w:before="72" w:beforeLines="30" w:after="72" w:afterLines="30" w:line="288" w:lineRule="auto"/>
        <w:jc w:val="both"/>
        <w:rPr>
          <w:rFonts w:eastAsia="宋体"/>
          <w:i/>
          <w:iCs/>
          <w:color w:val="000000"/>
          <w:szCs w:val="20"/>
        </w:rPr>
      </w:pPr>
      <w:r>
        <w:rPr>
          <w:i/>
          <w:iCs/>
          <w:szCs w:val="20"/>
        </w:rPr>
        <w:t>Note: The detailed signaling is up to RAN2.</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Issue-3: UCI multiplexing/dropping/prioritization rule for the first PUCCH</w:t>
      </w:r>
    </w:p>
    <w:p>
      <w:pPr>
        <w:pStyle w:val="111"/>
        <w:snapToGrid w:val="0"/>
        <w:spacing w:before="72" w:beforeLines="30" w:after="72" w:afterLines="30" w:line="288" w:lineRule="auto"/>
        <w:ind w:firstLine="0" w:firstLineChars="0"/>
        <w:jc w:val="both"/>
        <w:rPr>
          <w:rFonts w:eastAsia="宋体"/>
        </w:rPr>
      </w:pPr>
      <w:r>
        <w:rPr>
          <w:rFonts w:hint="eastAsia" w:eastAsia="宋体"/>
        </w:rPr>
        <w:t>It should be noted that LRR is introduced for BFR, and it is regarded as an SR as well. The triggering and transmission procedure for LRR widely reuse the legacy definitions for SR. Nevertheless, in order to prioritize the LRR over other conventional SRs, it is specified in TS 38.321 that when the MAC entity has a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p>
    <w:p>
      <w:pPr>
        <w:pStyle w:val="111"/>
        <w:snapToGrid w:val="0"/>
        <w:spacing w:before="72" w:beforeLines="30" w:after="72" w:afterLines="30" w:line="288" w:lineRule="auto"/>
        <w:ind w:firstLine="0" w:firstLineChars="0"/>
        <w:jc w:val="both"/>
        <w:rPr>
          <w:rFonts w:eastAsia="宋体"/>
          <w:iCs/>
          <w:color w:val="000000"/>
        </w:rPr>
      </w:pPr>
      <w:r>
        <w:rPr>
          <w:rFonts w:hint="eastAsia" w:eastAsia="宋体"/>
        </w:rPr>
        <w:t xml:space="preserve">Similarly, the prioritization of SRs for BFR, UEIBR and others is essential. For instance, as excerpted from TS 38.213 in the following, when more than one SR is transmitted on a PUCCH </w:t>
      </w:r>
      <w:r>
        <w:rPr>
          <w:rFonts w:eastAsia="宋体"/>
        </w:rPr>
        <w:t>because of</w:t>
      </w:r>
      <w:r>
        <w:rPr>
          <w:rFonts w:hint="eastAsia" w:eastAsia="宋体"/>
        </w:rPr>
        <w:t xml:space="preserve"> multiplexing, the UE generates a set of UCI bits based on the positive and negative status of all SR configurations in the order of </w:t>
      </w:r>
      <w:r>
        <w:rPr>
          <w:iCs/>
          <w:color w:val="000000"/>
        </w:rPr>
        <w:t>scheduling</w:t>
      </w:r>
      <w:r>
        <w:rPr>
          <w:rFonts w:hint="eastAsia" w:eastAsia="宋体"/>
          <w:iCs/>
          <w:color w:val="000000"/>
        </w:rPr>
        <w:t xml:space="preserve"> r</w:t>
      </w:r>
      <w:r>
        <w:rPr>
          <w:iCs/>
          <w:color w:val="000000"/>
        </w:rPr>
        <w:t>equest</w:t>
      </w:r>
      <w:r>
        <w:rPr>
          <w:rFonts w:hint="eastAsia" w:eastAsia="宋体"/>
          <w:iCs/>
          <w:color w:val="000000"/>
        </w:rPr>
        <w:t xml:space="preserve"> r</w:t>
      </w:r>
      <w:r>
        <w:rPr>
          <w:iCs/>
          <w:color w:val="000000"/>
        </w:rPr>
        <w:t>esource</w:t>
      </w:r>
      <w:r>
        <w:rPr>
          <w:rFonts w:hint="eastAsia" w:eastAsia="宋体"/>
          <w:iCs/>
          <w:color w:val="000000"/>
        </w:rPr>
        <w:t xml:space="preserve"> ID values. In such case, the </w:t>
      </w:r>
      <w:r>
        <w:rPr>
          <w:rFonts w:eastAsia="宋体"/>
          <w:iCs/>
          <w:color w:val="000000"/>
        </w:rPr>
        <w:t>priority rule between the first PUCCH and SR/LLR</w:t>
      </w:r>
      <w:r>
        <w:rPr>
          <w:rFonts w:hint="eastAsia" w:eastAsia="宋体"/>
          <w:iCs/>
          <w:color w:val="000000"/>
        </w:rPr>
        <w:t xml:space="preserve"> should be discussed.</w:t>
      </w:r>
    </w:p>
    <w:p>
      <w:pPr>
        <w:pStyle w:val="111"/>
        <w:numPr>
          <w:ilvl w:val="0"/>
          <w:numId w:val="24"/>
        </w:numPr>
        <w:snapToGrid w:val="0"/>
        <w:spacing w:before="72" w:beforeLines="30" w:after="72" w:afterLines="30" w:line="288" w:lineRule="auto"/>
        <w:ind w:firstLineChars="0"/>
        <w:jc w:val="both"/>
        <w:rPr>
          <w:rFonts w:eastAsia="宋体"/>
          <w:b/>
          <w:bCs/>
        </w:rPr>
      </w:pPr>
      <w:r>
        <w:rPr>
          <w:rFonts w:hint="eastAsia" w:eastAsia="宋体"/>
          <w:b/>
          <w:bCs/>
        </w:rPr>
        <w:t>TS 38.213</w:t>
      </w:r>
    </w:p>
    <w:tbl>
      <w:tblPr>
        <w:tblStyle w:val="24"/>
        <w:tblW w:w="0" w:type="auto"/>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tcPr>
          <w:p>
            <w:pPr>
              <w:pStyle w:val="111"/>
              <w:snapToGrid w:val="0"/>
              <w:spacing w:before="72" w:beforeLines="30" w:after="72" w:afterLines="30" w:line="288" w:lineRule="auto"/>
              <w:ind w:firstLine="0" w:firstLineChars="0"/>
              <w:jc w:val="both"/>
              <w:rPr>
                <w:b/>
                <w:bCs/>
                <w:sz w:val="21"/>
                <w:szCs w:val="24"/>
              </w:rPr>
            </w:pPr>
            <w:r>
              <w:rPr>
                <w:rFonts w:hint="eastAsia" w:eastAsia="宋体"/>
                <w:b/>
                <w:bCs/>
                <w:sz w:val="21"/>
                <w:szCs w:val="24"/>
              </w:rPr>
              <w:t xml:space="preserve">9.2.5.1  </w:t>
            </w:r>
            <w:r>
              <w:rPr>
                <w:b/>
                <w:bCs/>
                <w:sz w:val="21"/>
                <w:szCs w:val="24"/>
              </w:rPr>
              <w:t>UE procedure for multiplexing HARQ-ACK or CSI and SR in a PUCCH</w:t>
            </w:r>
          </w:p>
          <w:p>
            <w:pPr>
              <w:pStyle w:val="111"/>
              <w:snapToGrid w:val="0"/>
              <w:spacing w:before="72" w:beforeLines="30" w:after="72" w:afterLines="30" w:line="288" w:lineRule="auto"/>
              <w:ind w:firstLine="0" w:firstLineChars="0"/>
              <w:jc w:val="both"/>
              <w:rPr>
                <w:rFonts w:eastAsia="宋体"/>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bits representing a negative or positive SR, 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w:t>
            </w:r>
            <w:r>
              <w:rPr>
                <w:highlight w:val="yellow"/>
              </w:rPr>
              <w:t xml:space="preserve">If one of the SRs is a positive LRR, the value of the </w:t>
            </w:r>
            <m:oMath>
              <m:d>
                <m:dPr>
                  <m:begChr m:val="⌈"/>
                  <m:endChr m:val="⌉"/>
                  <m:ctrlPr>
                    <w:rPr>
                      <w:rFonts w:ascii="Cambria Math" w:hAnsi="Cambria Math"/>
                      <w:i/>
                      <w:highlight w:val="yellow"/>
                    </w:rPr>
                  </m:ctrlPr>
                </m:dPr>
                <m:e>
                  <m:sSub>
                    <m:sSubPr>
                      <m:ctrlPr>
                        <w:rPr>
                          <w:rFonts w:ascii="Cambria Math" w:hAnsi="Cambria Math"/>
                          <w:i/>
                          <w:highlight w:val="yellow"/>
                        </w:rPr>
                      </m:ctrlPr>
                    </m:sSubPr>
                    <m:e>
                      <m:r>
                        <m:rPr>
                          <m:sty m:val="p"/>
                        </m:rPr>
                        <w:rPr>
                          <w:rFonts w:ascii="Cambria Math" w:hAnsi="Cambria Math"/>
                          <w:highlight w:val="yellow"/>
                        </w:rPr>
                        <m:t>log</m:t>
                      </m:r>
                      <m:ctrlPr>
                        <w:rPr>
                          <w:rFonts w:ascii="Cambria Math" w:hAnsi="Cambria Math"/>
                          <w:i/>
                          <w:highlight w:val="yellow"/>
                        </w:rPr>
                      </m:ctrlPr>
                    </m:e>
                    <m:sub>
                      <m:r>
                        <m:rPr/>
                        <w:rPr>
                          <w:rFonts w:ascii="Cambria Math" w:hAnsi="Cambria Math"/>
                          <w:highlight w:val="yellow"/>
                        </w:rPr>
                        <m:t>2</m:t>
                      </m:r>
                      <m:ctrlPr>
                        <w:rPr>
                          <w:rFonts w:ascii="Cambria Math" w:hAnsi="Cambria Math"/>
                          <w:i/>
                          <w:highlight w:val="yellow"/>
                        </w:rPr>
                      </m:ctrlPr>
                    </m:sub>
                  </m:sSub>
                  <m:d>
                    <m:dPr>
                      <m:ctrlPr>
                        <w:rPr>
                          <w:rFonts w:ascii="Cambria Math" w:hAnsi="Cambria Math"/>
                          <w:i/>
                          <w:highlight w:val="yellow"/>
                        </w:rPr>
                      </m:ctrlPr>
                    </m:dPr>
                    <m:e>
                      <m:r>
                        <m:rPr/>
                        <w:rPr>
                          <w:rFonts w:ascii="Cambria Math" w:hAnsi="Cambria Math"/>
                          <w:highlight w:val="yellow"/>
                        </w:rPr>
                        <m:t>K+1</m:t>
                      </m:r>
                      <m:ctrlPr>
                        <w:rPr>
                          <w:rFonts w:ascii="Cambria Math" w:hAnsi="Cambria Math"/>
                          <w:i/>
                          <w:highlight w:val="yellow"/>
                        </w:rPr>
                      </m:ctrlPr>
                    </m:e>
                  </m:d>
                  <m:ctrlPr>
                    <w:rPr>
                      <w:rFonts w:ascii="Cambria Math" w:hAnsi="Cambria Math"/>
                      <w:i/>
                      <w:highlight w:val="yellow"/>
                    </w:rPr>
                  </m:ctrlPr>
                </m:e>
              </m:d>
            </m:oMath>
            <w:r>
              <w:rPr>
                <w:highlight w:val="yellow"/>
              </w:rPr>
              <w:t xml:space="preserve"> bits indicates the positive LRR</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p>
        </w:tc>
      </w:tr>
    </w:tbl>
    <w:p>
      <w:pPr>
        <w:pStyle w:val="111"/>
        <w:snapToGrid w:val="0"/>
        <w:spacing w:before="72" w:beforeLines="30" w:after="72" w:afterLines="30" w:line="288" w:lineRule="auto"/>
        <w:ind w:firstLine="0" w:firstLineChars="0"/>
        <w:jc w:val="both"/>
        <w:rPr>
          <w:rFonts w:eastAsia="宋体"/>
          <w:iCs/>
          <w:color w:val="000000"/>
        </w:rPr>
      </w:pPr>
      <w:r>
        <w:rPr>
          <w:rFonts w:hint="eastAsia" w:eastAsia="宋体"/>
          <w:iCs/>
          <w:color w:val="000000"/>
        </w:rPr>
        <w:t>Besides, in case of overlapping between an SR and a PUSCH in legacy, the UE drops the SR if the PUSCH is with UL-SCH, and drops the PUSCH otherwise. Regarding the overlapping between first PUCCH and PUSCH, besides reusing the above rule to minimize specification efforts, it is worth discussing the UE multiplexing the one-bit indication from the first PUCCH in the PUSCH.</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9:</w:t>
      </w:r>
      <w:r>
        <w:rPr>
          <w:rFonts w:hint="eastAsia" w:eastAsia="宋体"/>
          <w:i/>
          <w:iCs/>
        </w:rPr>
        <w:t xml:space="preserve"> </w:t>
      </w:r>
      <w:r>
        <w:rPr>
          <w:rFonts w:hint="eastAsia" w:eastAsia="宋体"/>
          <w:i/>
          <w:iCs/>
          <w:color w:val="000000"/>
          <w:szCs w:val="20"/>
        </w:rPr>
        <w:t>On beam report transmission procedure for UE-initiated/event-driven beam reporting, regarding first PUCCH transmission in Mode-A and/or Mode-B, support to reuse the same mechanism of legacy SR/LLR, except for priority rule between the first PUCCH and SR/LLR, and either multiplexing or dropping of the first PUCCH while overlapping with PUSCH.</w:t>
      </w:r>
    </w:p>
    <w:p>
      <w:pPr>
        <w:numPr>
          <w:ilvl w:val="0"/>
          <w:numId w:val="0"/>
        </w:numPr>
        <w:snapToGrid w:val="0"/>
        <w:spacing w:before="72" w:beforeLines="30" w:after="72" w:afterLines="30" w:line="288" w:lineRule="auto"/>
        <w:ind w:left="0" w:firstLine="0"/>
        <w:jc w:val="both"/>
        <w:rPr>
          <w:rFonts w:eastAsia="宋体"/>
        </w:rPr>
      </w:pPr>
      <w:r>
        <w:rPr>
          <w:rFonts w:hint="eastAsia" w:eastAsia="宋体"/>
          <w:b/>
          <w:bCs/>
          <w:szCs w:val="20"/>
          <w:u w:val="single"/>
        </w:rPr>
        <w:t>Issue-4: Association between first PUCCH channel and CSI report configurations for UE-initiated/event-</w:t>
      </w:r>
      <w:r>
        <w:rPr>
          <w:rFonts w:hint="eastAsia" w:eastAsia="宋体"/>
          <w:b/>
          <w:bCs/>
          <w:u w:val="single"/>
        </w:rPr>
        <w:t>driven beam reporting</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Given that the number of SR configurations is </w:t>
      </w:r>
      <w:r>
        <w:rPr>
          <w:rFonts w:eastAsia="宋体"/>
        </w:rPr>
        <w:t xml:space="preserve">very </w:t>
      </w:r>
      <w:r>
        <w:rPr>
          <w:rFonts w:hint="eastAsia" w:eastAsia="宋体"/>
        </w:rPr>
        <w:t>limited</w:t>
      </w:r>
      <w:r>
        <w:rPr>
          <w:rFonts w:eastAsia="宋体"/>
        </w:rPr>
        <w:t xml:space="preserve"> (i.e., up to 8 per UE)</w:t>
      </w:r>
      <w:r>
        <w:rPr>
          <w:rFonts w:hint="eastAsia" w:eastAsia="宋体"/>
        </w:rPr>
        <w:t xml:space="preserve">, configuring a dedicated SR configuration </w:t>
      </w:r>
      <w:r>
        <w:rPr>
          <w:rFonts w:hint="eastAsia" w:eastAsia="宋体"/>
          <w:lang w:val="en-US" w:eastAsia="zh-CN"/>
        </w:rPr>
        <w:t xml:space="preserve">for each CSI </w:t>
      </w:r>
      <w:r>
        <w:rPr>
          <w:rFonts w:hint="eastAsia" w:eastAsia="宋体"/>
        </w:rPr>
        <w:t xml:space="preserve">report configuration is impractical. </w:t>
      </w:r>
      <w:r>
        <w:rPr>
          <w:rFonts w:hint="eastAsia" w:eastAsia="宋体"/>
          <w:szCs w:val="18"/>
          <w:shd w:val="clear" w:color="auto" w:fill="FFFFFF"/>
        </w:rPr>
        <w:t xml:space="preserve">Considering that the triggering of UEI beam reports associated with different CSI report configurations can be sparse in time domain, the same </w:t>
      </w:r>
      <w:r>
        <w:rPr>
          <w:rFonts w:hint="eastAsia" w:eastAsia="宋体"/>
        </w:rPr>
        <w:t>SR configuration being associated with multiple UEIBR configurations should be supported to improve the resource efficiency of first PUCCH. Consequently, the first PUCCH is triggered to be transmitted when at least one of the UEI beam reports associated with the first PUCCH is triggered.</w:t>
      </w:r>
    </w:p>
    <w:p>
      <w:pPr>
        <w:adjustRightInd w:val="0"/>
        <w:snapToGrid w:val="0"/>
        <w:spacing w:before="72" w:beforeLines="30" w:after="72" w:afterLines="30" w:line="288" w:lineRule="auto"/>
        <w:jc w:val="both"/>
        <w:textAlignment w:val="center"/>
        <w:rPr>
          <w:rFonts w:eastAsia="宋体"/>
          <w:szCs w:val="18"/>
          <w:shd w:val="clear" w:color="auto" w:fill="FFFFFF"/>
        </w:rPr>
      </w:pPr>
      <w:r>
        <w:rPr>
          <w:rFonts w:hint="eastAsia" w:eastAsia="宋体"/>
          <w:szCs w:val="18"/>
          <w:shd w:val="clear" w:color="auto" w:fill="FFFFFF"/>
        </w:rPr>
        <w:t>Regarding w</w:t>
      </w:r>
      <w:r>
        <w:rPr>
          <w:rFonts w:eastAsia="PMingLiU"/>
          <w:szCs w:val="18"/>
          <w:shd w:val="clear" w:color="auto" w:fill="FFFFFF"/>
          <w:lang w:eastAsia="zh-TW"/>
        </w:rPr>
        <w:t>hether the PUCCH resource in the first PUCCH channel can be associated with multiple CSI report configurations for UE-initiated/event-driven beam reporting from one or multiple CC(s)</w:t>
      </w:r>
      <w:r>
        <w:rPr>
          <w:rFonts w:hint="eastAsia" w:eastAsia="宋体"/>
          <w:szCs w:val="18"/>
          <w:shd w:val="clear" w:color="auto" w:fill="FFFFFF"/>
        </w:rPr>
        <w:t>, the considerations for Mode-A and Mode-B are as follows.</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Mode-A</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color w:val="000000"/>
          <w:szCs w:val="20"/>
        </w:rPr>
        <w:t xml:space="preserve">If multiple UEIBRs configured in different CCs can be associated with the same first PUCCH as in Figure 2(a), the network may schedule a PUSCH in a CC different from the CC in which the triggered UEIBR is configured due to it cannot identity the CC index of the actually triggered UEIBR based on the first PUCCH transmission. Consequently, it allows </w:t>
      </w:r>
      <w:r>
        <w:rPr>
          <w:rFonts w:eastAsia="宋体"/>
          <w:szCs w:val="20"/>
        </w:rPr>
        <w:t xml:space="preserve">the beam report </w:t>
      </w:r>
      <w:r>
        <w:rPr>
          <w:rFonts w:hint="eastAsia" w:eastAsia="宋体"/>
          <w:szCs w:val="20"/>
        </w:rPr>
        <w:t xml:space="preserve">to </w:t>
      </w:r>
      <w:r>
        <w:rPr>
          <w:rFonts w:eastAsia="宋体"/>
          <w:szCs w:val="20"/>
        </w:rPr>
        <w:t xml:space="preserve">be carried in the second UL channel in the CC </w:t>
      </w:r>
      <w:r>
        <w:rPr>
          <w:rFonts w:hint="eastAsia" w:eastAsia="宋体"/>
          <w:szCs w:val="20"/>
        </w:rPr>
        <w:t xml:space="preserve">different from the CC </w:t>
      </w:r>
      <w:r>
        <w:rPr>
          <w:rFonts w:eastAsia="宋体"/>
          <w:szCs w:val="20"/>
        </w:rPr>
        <w:t>where the corresponding CSI report configuration is configured</w:t>
      </w:r>
      <w:r>
        <w:rPr>
          <w:rFonts w:hint="eastAsia" w:eastAsia="宋体"/>
          <w:szCs w:val="20"/>
        </w:rPr>
        <w:t>.</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color w:val="000000"/>
          <w:szCs w:val="20"/>
        </w:rPr>
        <w:t>If multiple UEIBRs configured in one CC can be associated with the same first PUCCH as in Figure 2(b), the network can schedule a PUSCH in the CC where the corresponding UEIBR is configured.</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2879725" cy="1430020"/>
            <wp:effectExtent l="0" t="0" r="15875" b="17780"/>
            <wp:docPr id="5" name="图片 5" descr="ModeAfirstPUC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odeAfirstPUCCH2"/>
                    <pic:cNvPicPr>
                      <a:picLocks noChangeAspect="1"/>
                    </pic:cNvPicPr>
                  </pic:nvPicPr>
                  <pic:blipFill>
                    <a:blip r:embed="rId7"/>
                    <a:stretch>
                      <a:fillRect/>
                    </a:stretch>
                  </pic:blipFill>
                  <pic:spPr>
                    <a:xfrm>
                      <a:off x="0" y="0"/>
                      <a:ext cx="2879725" cy="1430020"/>
                    </a:xfrm>
                    <a:prstGeom prst="rect">
                      <a:avLst/>
                    </a:prstGeom>
                  </pic:spPr>
                </pic:pic>
              </a:graphicData>
            </a:graphic>
          </wp:inline>
        </w:drawing>
      </w:r>
      <w:r>
        <w:rPr>
          <w:rFonts w:hint="eastAsia" w:eastAsia="宋体"/>
        </w:rPr>
        <w:t xml:space="preserve">  </w:t>
      </w:r>
      <w:r>
        <w:rPr>
          <w:rFonts w:eastAsia="宋体"/>
          <w:i/>
          <w:iCs/>
          <w:color w:val="000000"/>
          <w:szCs w:val="20"/>
        </w:rPr>
        <w:drawing>
          <wp:inline distT="0" distB="0" distL="114300" distR="114300">
            <wp:extent cx="2879725" cy="1436370"/>
            <wp:effectExtent l="0" t="0" r="15875" b="11430"/>
            <wp:docPr id="4" name="图片 4" descr="ModeAfirstPUC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AfirstPUCCH1"/>
                    <pic:cNvPicPr>
                      <a:picLocks noChangeAspect="1"/>
                    </pic:cNvPicPr>
                  </pic:nvPicPr>
                  <pic:blipFill>
                    <a:blip r:embed="rId8"/>
                    <a:stretch>
                      <a:fillRect/>
                    </a:stretch>
                  </pic:blipFill>
                  <pic:spPr>
                    <a:xfrm>
                      <a:off x="0" y="0"/>
                      <a:ext cx="2879725" cy="1436370"/>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rPr>
        <w:t>(a)                                                                                        (b)</w:t>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(a) first PUCCH resource configuration per cell</w:t>
      </w:r>
      <w:r>
        <w:rPr>
          <w:rFonts w:eastAsia="宋体"/>
        </w:rPr>
        <w:t>,</w:t>
      </w:r>
      <w:r>
        <w:rPr>
          <w:rFonts w:hint="eastAsia" w:eastAsia="宋体"/>
        </w:rPr>
        <w:t xml:space="preserve"> (b) shared first PUCCH resource configuration </w:t>
      </w:r>
    </w:p>
    <w:p>
      <w:pPr>
        <w:pStyle w:val="111"/>
        <w:numPr>
          <w:ilvl w:val="1"/>
          <w:numId w:val="14"/>
        </w:numPr>
        <w:snapToGrid w:val="0"/>
        <w:spacing w:before="72" w:beforeLines="30" w:after="72" w:afterLines="30" w:line="288" w:lineRule="auto"/>
        <w:ind w:firstLineChars="0"/>
        <w:jc w:val="both"/>
        <w:rPr>
          <w:rFonts w:eastAsia="宋体"/>
        </w:rPr>
      </w:pPr>
      <w:r>
        <w:rPr>
          <w:rFonts w:hint="eastAsia" w:eastAsia="宋体"/>
        </w:rPr>
        <w:t>Mode-B</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rPr>
        <w:t xml:space="preserve">If multiple UEIBRs configured in different CCs can be associated with the same first PUCCH, the network needs to blindly detect the transmissions of second UL channels in these CCs. Instead, such blind detection is not required if UEIBRs configured in one CC can be associated with the same first PUCCH. </w:t>
      </w:r>
    </w:p>
    <w:p>
      <w:pPr>
        <w:pStyle w:val="111"/>
        <w:numPr>
          <w:ilvl w:val="2"/>
          <w:numId w:val="14"/>
        </w:numPr>
        <w:snapToGrid w:val="0"/>
        <w:spacing w:before="72" w:beforeLines="30" w:after="72" w:afterLines="30" w:line="288" w:lineRule="auto"/>
        <w:ind w:firstLineChars="0"/>
        <w:jc w:val="both"/>
        <w:rPr>
          <w:rFonts w:eastAsia="宋体"/>
        </w:rPr>
      </w:pPr>
      <w:r>
        <w:rPr>
          <w:rFonts w:hint="eastAsia" w:eastAsia="宋体"/>
        </w:rPr>
        <w:t>As depicted in Figure 3, UEIBR #1 and #3 are configured in CC 0 and UEIBR #2 is configured in CC 1, network can clearly identify the transmission of the second UL channels from CC 0 and 1.</w:t>
      </w:r>
    </w:p>
    <w:p>
      <w:pPr>
        <w:snapToGrid w:val="0"/>
        <w:spacing w:before="72" w:beforeLines="30" w:after="72" w:afterLines="30" w:line="288" w:lineRule="auto"/>
        <w:jc w:val="center"/>
        <w:rPr>
          <w:rFonts w:eastAsia="宋体"/>
          <w:color w:val="000000"/>
          <w:szCs w:val="20"/>
        </w:rPr>
      </w:pPr>
      <w:r>
        <w:rPr>
          <w:rFonts w:eastAsia="宋体"/>
          <w:color w:val="000000"/>
          <w:szCs w:val="20"/>
        </w:rPr>
        <w:drawing>
          <wp:inline distT="0" distB="0" distL="114300" distR="114300">
            <wp:extent cx="3088640" cy="2139315"/>
            <wp:effectExtent l="0" t="0" r="16510" b="13335"/>
            <wp:docPr id="3" name="图片 3" descr="CCshared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Cshared1stPUCCH"/>
                    <pic:cNvPicPr>
                      <a:picLocks noChangeAspect="1"/>
                    </pic:cNvPicPr>
                  </pic:nvPicPr>
                  <pic:blipFill>
                    <a:blip r:embed="rId9"/>
                    <a:stretch>
                      <a:fillRect/>
                    </a:stretch>
                  </pic:blipFill>
                  <pic:spPr>
                    <a:xfrm>
                      <a:off x="0" y="0"/>
                      <a:ext cx="3088640" cy="2139315"/>
                    </a:xfrm>
                    <a:prstGeom prst="rect">
                      <a:avLst/>
                    </a:prstGeom>
                  </pic:spPr>
                </pic:pic>
              </a:graphicData>
            </a:graphic>
          </wp:inline>
        </w:drawing>
      </w:r>
    </w:p>
    <w:p>
      <w:pPr>
        <w:snapToGrid w:val="0"/>
        <w:spacing w:before="72" w:beforeLines="30" w:after="72" w:afterLines="30" w:line="288" w:lineRule="auto"/>
        <w:jc w:val="center"/>
        <w:rPr>
          <w:rFonts w:eastAsia="宋体"/>
          <w:color w:val="000000"/>
          <w:szCs w:val="20"/>
        </w:rPr>
      </w:pPr>
      <w:r>
        <w:rPr>
          <w:rFonts w:hint="eastAsia" w:eastAsia="宋体"/>
          <w:b/>
          <w:bCs/>
          <w:color w:val="000000"/>
          <w:szCs w:val="20"/>
        </w:rPr>
        <w:t>Figure 3</w:t>
      </w:r>
      <w:r>
        <w:rPr>
          <w:rFonts w:hint="eastAsia" w:eastAsia="宋体"/>
          <w:color w:val="000000"/>
          <w:szCs w:val="20"/>
        </w:rPr>
        <w:t xml:space="preserve"> First PUCCH being associated with multiple CSI report configurations for UEIBR from one CC</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9:</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support that the PUCCH resource in the first PUCCH channel </w:t>
      </w:r>
      <w:r>
        <w:rPr>
          <w:rFonts w:eastAsia="宋体"/>
          <w:i/>
          <w:iCs/>
          <w:color w:val="000000"/>
          <w:szCs w:val="18"/>
          <w:shd w:val="clear" w:color="auto" w:fill="FFFFFF"/>
        </w:rPr>
        <w:t>for</w:t>
      </w:r>
      <w:r>
        <w:rPr>
          <w:rFonts w:hint="eastAsia" w:eastAsia="宋体"/>
          <w:i/>
          <w:iCs/>
          <w:color w:val="000000"/>
          <w:szCs w:val="18"/>
          <w:shd w:val="clear" w:color="auto" w:fill="FFFFFF"/>
        </w:rPr>
        <w:t xml:space="preserve"> Mode-B can be associated with multiple CSI report configurations for UE-initiated/event-driven beam reporting from one CC.</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color w:val="000000"/>
          <w:szCs w:val="20"/>
        </w:rPr>
        <w:t>Extending the maximum number of SR configurations if the first PUCCH is associated with an SR.</w:t>
      </w:r>
    </w:p>
    <w:p>
      <w:pPr>
        <w:numPr>
          <w:ilvl w:val="0"/>
          <w:numId w:val="12"/>
        </w:numPr>
        <w:snapToGrid w:val="0"/>
        <w:spacing w:before="72" w:beforeLines="30" w:after="72" w:afterLines="30" w:line="288" w:lineRule="auto"/>
        <w:jc w:val="both"/>
        <w:rPr>
          <w:rFonts w:eastAsia="宋体"/>
          <w:i/>
          <w:iCs/>
          <w:color w:val="000000"/>
          <w:szCs w:val="20"/>
        </w:rPr>
      </w:pPr>
      <w:r>
        <w:rPr>
          <w:rFonts w:hint="eastAsia" w:eastAsia="宋体"/>
          <w:i/>
          <w:iCs/>
        </w:rPr>
        <w:t>FFS: For Mode-A, whether the PUCCH resource in the first PUCCH channel can be associated with multiple CSI report configurations for UE-initiated/event-driven beam reporting from one or multiple CC(s).</w:t>
      </w:r>
      <w:r>
        <w:rPr>
          <w:rFonts w:hint="eastAsia" w:eastAsia="宋体"/>
          <w:i/>
          <w:iCs/>
          <w:color w:val="000000"/>
          <w:szCs w:val="20"/>
        </w:rPr>
        <w:t xml:space="preserve"> </w:t>
      </w:r>
    </w:p>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rPr>
        <w:t>Second UL channel</w:t>
      </w:r>
    </w:p>
    <w:p>
      <w:pPr>
        <w:snapToGrid w:val="0"/>
        <w:spacing w:before="72" w:beforeLines="30" w:after="72" w:afterLines="30" w:line="288" w:lineRule="auto"/>
        <w:jc w:val="both"/>
        <w:rPr>
          <w:rFonts w:eastAsia="宋体"/>
          <w:b/>
          <w:sz w:val="28"/>
          <w:szCs w:val="28"/>
        </w:rPr>
      </w:pPr>
      <w:r>
        <w:rPr>
          <w:rFonts w:hint="eastAsia" w:eastAsia="宋体"/>
        </w:rPr>
        <w:t xml:space="preserve">In RAN1#118 meeting, the following agreements on the second UL channel were endorsed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1" w:type="dxa"/>
          </w:tcPr>
          <w:p>
            <w:pPr>
              <w:pStyle w:val="105"/>
              <w:snapToGrid w:val="0"/>
              <w:spacing w:before="72" w:beforeLines="30" w:after="72" w:afterLines="30" w:afterAutospacing="0"/>
              <w:ind w:firstLine="0"/>
              <w:rPr>
                <w:rFonts w:cs="Times"/>
                <w:b/>
                <w:bCs/>
                <w:highlight w:val="green"/>
                <w:lang w:eastAsia="zh-CN"/>
              </w:rPr>
            </w:pPr>
            <w:r>
              <w:rPr>
                <w:rFonts w:eastAsia="等线"/>
                <w:b/>
                <w:bCs/>
                <w:u w:val="single"/>
                <w:lang w:val="en-US" w:eastAsia="zh-CN"/>
              </w:rPr>
              <w:t>Agreement</w:t>
            </w:r>
          </w:p>
          <w:p>
            <w:pPr>
              <w:spacing w:before="72" w:beforeLines="30" w:after="72" w:afterLines="30" w:line="288" w:lineRule="auto"/>
            </w:pPr>
            <w:r>
              <w:t>On beam report transmission procedure for UE-initiated/event-driven beam reporting, regarding the triggering procedure in Step-2 of Mode-A, select one of the following options</w:t>
            </w:r>
          </w:p>
          <w:p>
            <w:pPr>
              <w:numPr>
                <w:ilvl w:val="1"/>
                <w:numId w:val="12"/>
              </w:numPr>
              <w:snapToGrid w:val="0"/>
              <w:spacing w:before="72" w:beforeLines="30" w:after="72" w:afterLines="30" w:line="288" w:lineRule="auto"/>
              <w:jc w:val="both"/>
              <w:rPr>
                <w:rFonts w:eastAsia="宋体"/>
                <w:color w:val="000000"/>
                <w:szCs w:val="20"/>
              </w:rPr>
            </w:pPr>
            <w:r>
              <w:t>Opti</w:t>
            </w:r>
            <w:r>
              <w:rPr>
                <w:rFonts w:hint="eastAsia" w:eastAsia="宋体"/>
                <w:color w:val="000000"/>
                <w:szCs w:val="20"/>
              </w:rPr>
              <w:t>on-1: Introduce a new 1-bit field in DCI format 0_1/0_2 to trigger the transmission of the UEI beam report</w:t>
            </w:r>
          </w:p>
          <w:p>
            <w:pPr>
              <w:numPr>
                <w:ilvl w:val="2"/>
                <w:numId w:val="12"/>
              </w:numPr>
              <w:snapToGrid w:val="0"/>
              <w:spacing w:before="72" w:beforeLines="30" w:after="72" w:afterLines="30" w:line="288" w:lineRule="auto"/>
              <w:jc w:val="both"/>
              <w:rPr>
                <w:rFonts w:eastAsia="宋体"/>
                <w:color w:val="000000"/>
                <w:szCs w:val="20"/>
              </w:rPr>
            </w:pPr>
            <w:r>
              <w:rPr>
                <w:rFonts w:hint="eastAsia" w:eastAsia="宋体"/>
                <w:color w:val="000000"/>
                <w:szCs w:val="20"/>
              </w:rPr>
              <w:t>FFS: DCI format 0_3</w:t>
            </w:r>
          </w:p>
          <w:p>
            <w:pPr>
              <w:numPr>
                <w:ilvl w:val="1"/>
                <w:numId w:val="12"/>
              </w:numPr>
              <w:snapToGrid w:val="0"/>
              <w:spacing w:before="72" w:beforeLines="30" w:after="72" w:afterLines="30" w:line="288" w:lineRule="auto"/>
              <w:jc w:val="both"/>
              <w:rPr>
                <w:rFonts w:eastAsia="宋体"/>
                <w:color w:val="000000"/>
                <w:szCs w:val="20"/>
              </w:rPr>
            </w:pPr>
            <w:r>
              <w:rPr>
                <w:rFonts w:hint="eastAsia" w:eastAsia="宋体"/>
                <w:color w:val="000000"/>
                <w:szCs w:val="20"/>
              </w:rPr>
              <w:t>Option-2: Reuse CSI request field in DCI format 0_1/0_2 to trigger the transmission of the UEI beam report</w:t>
            </w:r>
          </w:p>
          <w:p>
            <w:pPr>
              <w:numPr>
                <w:ilvl w:val="2"/>
                <w:numId w:val="12"/>
              </w:numPr>
              <w:snapToGrid w:val="0"/>
              <w:spacing w:before="72" w:beforeLines="30" w:after="72" w:afterLines="30" w:line="288" w:lineRule="auto"/>
              <w:jc w:val="both"/>
              <w:rPr>
                <w:rFonts w:eastAsia="宋体"/>
                <w:color w:val="000000"/>
                <w:szCs w:val="20"/>
              </w:rPr>
            </w:pPr>
            <w:r>
              <w:rPr>
                <w:rFonts w:hint="eastAsia" w:eastAsia="宋体"/>
                <w:color w:val="000000"/>
                <w:szCs w:val="20"/>
              </w:rPr>
              <w:t>FFS: DCI format 0_3</w:t>
            </w:r>
          </w:p>
          <w:p>
            <w:pPr>
              <w:numPr>
                <w:ilvl w:val="1"/>
                <w:numId w:val="12"/>
              </w:numPr>
              <w:snapToGrid w:val="0"/>
              <w:spacing w:before="72" w:beforeLines="30" w:after="72" w:afterLines="30" w:line="288" w:lineRule="auto"/>
              <w:jc w:val="both"/>
            </w:pPr>
            <w:r>
              <w:rPr>
                <w:rFonts w:hint="eastAsia" w:eastAsia="宋体"/>
                <w:color w:val="000000"/>
                <w:szCs w:val="20"/>
              </w:rPr>
              <w:t>FFS: Whether/how to handle the case that multiple CSI report configuration(s) for the UE-initiated/event-driven beam rep</w:t>
            </w:r>
            <w:r>
              <w:t>ort are associated with the same first PUCCH resource and/or the same scheduled PUSCH</w:t>
            </w:r>
          </w:p>
          <w:p>
            <w:pPr>
              <w:pStyle w:val="105"/>
              <w:snapToGrid w:val="0"/>
              <w:spacing w:before="60" w:after="60" w:afterAutospacing="0" w:line="240" w:lineRule="auto"/>
              <w:ind w:firstLine="0"/>
              <w:rPr>
                <w:rFonts w:eastAsia="等线"/>
                <w:u w:val="single"/>
                <w:lang w:val="en-US" w:eastAsia="zh-CN"/>
              </w:rPr>
            </w:pPr>
            <w:r>
              <w:rPr>
                <w:rFonts w:eastAsia="等线"/>
                <w:b/>
                <w:bCs/>
                <w:u w:val="single"/>
                <w:lang w:val="en-US" w:eastAsia="zh-CN"/>
              </w:rPr>
              <w:t>Agreement</w:t>
            </w:r>
          </w:p>
          <w:p>
            <w:pPr>
              <w:adjustRightInd w:val="0"/>
              <w:snapToGrid w:val="0"/>
              <w:jc w:val="both"/>
              <w:rPr>
                <w:rFonts w:eastAsia="宋体"/>
                <w:szCs w:val="2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the case </w:t>
            </w:r>
            <w:r>
              <w:t xml:space="preserve">the pre-configured Type-1 CG PUSCH </w:t>
            </w:r>
            <w:r>
              <w:rPr>
                <w:szCs w:val="20"/>
              </w:rPr>
              <w:t>carry the beam report,</w:t>
            </w:r>
            <w:r>
              <w:t xml:space="preserve"> for the second UL channel in </w:t>
            </w:r>
            <w:r>
              <w:rPr>
                <w:rFonts w:eastAsia="Times New Roman"/>
                <w:b/>
              </w:rPr>
              <w:t>Mode-B</w:t>
            </w:r>
            <w:r>
              <w:t>, at least one or both of the following should be supported:</w:t>
            </w:r>
          </w:p>
          <w:p>
            <w:pPr>
              <w:numPr>
                <w:ilvl w:val="1"/>
                <w:numId w:val="12"/>
              </w:numPr>
              <w:snapToGrid w:val="0"/>
              <w:spacing w:before="72" w:beforeLines="30" w:after="72" w:afterLines="30" w:line="288" w:lineRule="auto"/>
              <w:jc w:val="both"/>
            </w:pPr>
            <w:r>
              <w:t>Option-1: The same Type-1 CG PUSCH can carry UL-SCH and the beam report.</w:t>
            </w:r>
          </w:p>
          <w:p>
            <w:pPr>
              <w:numPr>
                <w:ilvl w:val="1"/>
                <w:numId w:val="12"/>
              </w:numPr>
              <w:snapToGrid w:val="0"/>
              <w:spacing w:before="72" w:beforeLines="30" w:after="72" w:afterLines="30" w:line="288" w:lineRule="auto"/>
              <w:jc w:val="both"/>
            </w:pPr>
            <w:r>
              <w:t>Option-2: The Type-1 CG PUSCH is a dedicated type-1 CG PUSCH for carrying the beam report</w:t>
            </w:r>
          </w:p>
          <w:p>
            <w:pPr>
              <w:numPr>
                <w:ilvl w:val="2"/>
                <w:numId w:val="12"/>
              </w:numPr>
              <w:snapToGrid w:val="0"/>
              <w:spacing w:before="72" w:beforeLines="30" w:after="72" w:afterLines="30" w:line="288" w:lineRule="auto"/>
              <w:jc w:val="both"/>
            </w:pPr>
            <w:r>
              <w:t>Note: This PUSCH can NOT carry UL-SCH. This PUSCH can NOT carry any other UCI.</w:t>
            </w:r>
          </w:p>
          <w:p>
            <w:pPr>
              <w:snapToGrid w:val="0"/>
              <w:spacing w:before="72" w:beforeLines="30" w:after="72" w:afterLines="30" w:line="288" w:lineRule="auto"/>
              <w:jc w:val="both"/>
              <w:rPr>
                <w:szCs w:val="20"/>
              </w:rPr>
            </w:pPr>
            <w:r>
              <w:rPr>
                <w:rFonts w:eastAsia="等线"/>
                <w:b/>
                <w:bCs/>
                <w:u w:val="single"/>
              </w:rPr>
              <w:t>Agreement</w:t>
            </w:r>
          </w:p>
          <w:p>
            <w:pPr>
              <w:adjustRightInd w:val="0"/>
              <w:snapToGrid w:val="0"/>
              <w:spacing w:before="72" w:beforeLines="30" w:after="72" w:afterLines="30" w:line="288" w:lineRule="auto"/>
              <w:rPr>
                <w:rFonts w:eastAsia="宋体"/>
                <w:szCs w:val="20"/>
              </w:rPr>
            </w:pPr>
            <w:r>
              <w:rPr>
                <w:rFonts w:eastAsia="宋体"/>
                <w:color w:val="000000"/>
                <w:szCs w:val="20"/>
              </w:rPr>
              <w:t>On beam report transmission procedure for UE-initiated/</w:t>
            </w:r>
            <w:r>
              <w:rPr>
                <w:rFonts w:eastAsia="宋体"/>
                <w:szCs w:val="20"/>
              </w:rPr>
              <w:t>event-driven beam reporting, regarding Event-2, for at least Mode-B, the beam report should be carried in the second UL channel in the CC where the corresponding CSI report configuration is configured.</w:t>
            </w:r>
          </w:p>
          <w:p>
            <w:pPr>
              <w:pStyle w:val="111"/>
              <w:numPr>
                <w:ilvl w:val="0"/>
                <w:numId w:val="25"/>
              </w:numPr>
              <w:adjustRightInd w:val="0"/>
              <w:snapToGrid w:val="0"/>
              <w:spacing w:before="72" w:beforeLines="30" w:after="72" w:afterLines="30" w:line="288" w:lineRule="auto"/>
              <w:ind w:firstLineChars="0"/>
              <w:rPr>
                <w:rFonts w:cs="Times"/>
                <w:szCs w:val="20"/>
              </w:rPr>
            </w:pPr>
            <w:r>
              <w:rPr>
                <w:rFonts w:cs="Times"/>
                <w:szCs w:val="20"/>
              </w:rPr>
              <w:t xml:space="preserve">Above applies to both cross-CC and same-CC beam report. </w:t>
            </w:r>
          </w:p>
          <w:p>
            <w:pPr>
              <w:pStyle w:val="111"/>
              <w:numPr>
                <w:ilvl w:val="0"/>
                <w:numId w:val="25"/>
              </w:numPr>
              <w:adjustRightInd w:val="0"/>
              <w:snapToGrid w:val="0"/>
              <w:spacing w:before="72" w:beforeLines="30" w:after="72" w:afterLines="30" w:line="288" w:lineRule="auto"/>
              <w:ind w:firstLineChars="0"/>
              <w:rPr>
                <w:szCs w:val="20"/>
              </w:rPr>
            </w:pPr>
            <w:r>
              <w:rPr>
                <w:rFonts w:cs="Times"/>
                <w:szCs w:val="20"/>
              </w:rPr>
              <w:t xml:space="preserve">Note: Above is applied to the case that second UL channel is PUSCH. </w:t>
            </w:r>
          </w:p>
          <w:p>
            <w:pPr>
              <w:pStyle w:val="111"/>
              <w:numPr>
                <w:ilvl w:val="0"/>
                <w:numId w:val="25"/>
              </w:numPr>
              <w:adjustRightInd w:val="0"/>
              <w:snapToGrid w:val="0"/>
              <w:spacing w:before="72" w:beforeLines="30" w:after="72" w:afterLines="30" w:line="288" w:lineRule="auto"/>
              <w:ind w:firstLineChars="0"/>
              <w:rPr>
                <w:szCs w:val="20"/>
              </w:rPr>
            </w:pPr>
            <w:r>
              <w:rPr>
                <w:rFonts w:cs="Times"/>
                <w:szCs w:val="20"/>
              </w:rPr>
              <w:t>FFS: Whether the first and second channels can be from the same/different CC.</w:t>
            </w:r>
          </w:p>
        </w:tc>
      </w:tr>
    </w:tbl>
    <w:p>
      <w:pPr>
        <w:snapToGrid w:val="0"/>
        <w:spacing w:before="72" w:beforeLines="30" w:after="72" w:afterLines="30" w:line="288" w:lineRule="auto"/>
        <w:ind w:left="-20"/>
        <w:jc w:val="both"/>
        <w:rPr>
          <w:rFonts w:eastAsia="宋体"/>
        </w:rPr>
      </w:pPr>
      <w:r>
        <w:rPr>
          <w:rFonts w:hint="eastAsia" w:eastAsia="宋体"/>
        </w:rPr>
        <w:t>In scenarios where conflict between uplink channels occurs, except for the cases where a CSI report and its corresponding uplink resource are dropped directly based on some predefined rules, the CSI report is typically multiplexed with other UCI or UL-SCH. In such case, if the payload size of UCI bits exceeds the capacity of the uplink resource allocated to carry the multiplexed information, the CSI omission rule based on CSI priority value is applied. Accordingly, considerations on the second UL channel for Mode A and Mode B are</w:t>
      </w:r>
      <w:r>
        <w:rPr>
          <w:rFonts w:eastAsia="宋体"/>
        </w:rPr>
        <w:t xml:space="preserve"> </w:t>
      </w:r>
      <w:r>
        <w:rPr>
          <w:rFonts w:hint="eastAsia" w:eastAsia="宋体"/>
        </w:rPr>
        <w:t>provided as follows.</w:t>
      </w:r>
    </w:p>
    <w:p>
      <w:pPr>
        <w:numPr>
          <w:ilvl w:val="0"/>
          <w:numId w:val="0"/>
        </w:numPr>
        <w:snapToGrid w:val="0"/>
        <w:spacing w:before="72" w:beforeLines="30" w:after="72" w:afterLines="30" w:line="288" w:lineRule="auto"/>
        <w:ind w:left="0" w:firstLine="0"/>
        <w:jc w:val="both"/>
        <w:rPr>
          <w:rFonts w:eastAsia="宋体"/>
          <w:b/>
          <w:bCs/>
          <w:u w:val="single"/>
        </w:rPr>
      </w:pPr>
      <w:r>
        <w:rPr>
          <w:rFonts w:hint="eastAsia" w:eastAsia="宋体"/>
          <w:b/>
          <w:bCs/>
          <w:u w:val="single"/>
        </w:rPr>
        <w:t>Mode A</w:t>
      </w:r>
    </w:p>
    <w:p>
      <w:pPr>
        <w:snapToGrid w:val="0"/>
        <w:spacing w:before="72" w:beforeLines="30" w:after="72" w:afterLines="30" w:line="288" w:lineRule="auto"/>
        <w:jc w:val="both"/>
        <w:rPr>
          <w:rFonts w:eastAsia="宋体"/>
        </w:rPr>
      </w:pPr>
      <w:r>
        <w:rPr>
          <w:rFonts w:hint="eastAsia" w:eastAsia="宋体"/>
        </w:rPr>
        <w:t>Given that multiple UEIBR configurations should be associated with the same first PUCCH resource for higher resource efficiency, the NW cannot identity the actually triggered UEIBR to which</w:t>
      </w:r>
      <w:r>
        <w:rPr>
          <w:rFonts w:eastAsia="宋体"/>
        </w:rPr>
        <w:t xml:space="preserve"> report configuration</w:t>
      </w:r>
      <w:r>
        <w:rPr>
          <w:rFonts w:hint="eastAsia" w:eastAsia="宋体"/>
        </w:rPr>
        <w:t xml:space="preserve"> the uplink resource request belongs. Subsequently, it makes the UEIBR configuration index associated with a trigger state that explicitly indicated by the CSI request field invalid.</w:t>
      </w:r>
    </w:p>
    <w:p>
      <w:pPr>
        <w:snapToGrid w:val="0"/>
        <w:spacing w:before="72" w:beforeLines="30" w:after="72" w:afterLines="30" w:line="288" w:lineRule="auto"/>
        <w:jc w:val="both"/>
        <w:rPr>
          <w:rFonts w:eastAsia="宋体"/>
        </w:rPr>
      </w:pPr>
      <w:r>
        <w:rPr>
          <w:rFonts w:hint="eastAsia" w:eastAsia="宋体"/>
        </w:rPr>
        <w:t>To address this issue, the following alternatives can be taken into consideration for the UEIBR triggered by the UL-grant DCI format in Mode A.</w:t>
      </w:r>
    </w:p>
    <w:p>
      <w:pPr>
        <w:numPr>
          <w:ilvl w:val="1"/>
          <w:numId w:val="26"/>
        </w:numPr>
        <w:snapToGrid w:val="0"/>
        <w:spacing w:before="72" w:beforeLines="30" w:after="72" w:afterLines="30" w:line="288" w:lineRule="auto"/>
        <w:jc w:val="both"/>
        <w:rPr>
          <w:rFonts w:eastAsia="宋体"/>
        </w:rPr>
      </w:pPr>
      <w:r>
        <w:t>Opti</w:t>
      </w:r>
      <w:r>
        <w:rPr>
          <w:rFonts w:hint="eastAsia" w:eastAsia="宋体"/>
          <w:color w:val="000000"/>
          <w:szCs w:val="20"/>
        </w:rPr>
        <w:t>on-1: Introduce a new 1-bit field in DCI format 0_1/0_2 to trigger the transmission of the UEI beam report</w:t>
      </w:r>
    </w:p>
    <w:p>
      <w:pPr>
        <w:numPr>
          <w:ilvl w:val="2"/>
          <w:numId w:val="26"/>
        </w:numPr>
        <w:snapToGrid w:val="0"/>
        <w:spacing w:before="72" w:beforeLines="30" w:after="72" w:afterLines="30" w:line="288" w:lineRule="auto"/>
        <w:jc w:val="both"/>
        <w:rPr>
          <w:rFonts w:eastAsia="宋体"/>
        </w:rPr>
      </w:pPr>
      <w:r>
        <w:rPr>
          <w:rFonts w:hint="eastAsia" w:eastAsia="宋体"/>
        </w:rPr>
        <w:t>UE transmits UEIBRs in the second PUSCH scheduled by the UL DCI in which the one-bit field indicates to transmit UEIBR on the PUSCH. The number of UEIBRs transmitted in the second PUSCH is determined by the number of actually triggered UEIBRs under the capacity of the second PUSCH.</w:t>
      </w:r>
    </w:p>
    <w:p>
      <w:pPr>
        <w:numPr>
          <w:ilvl w:val="1"/>
          <w:numId w:val="26"/>
        </w:numPr>
        <w:snapToGrid w:val="0"/>
        <w:spacing w:before="72" w:beforeLines="30" w:after="72" w:afterLines="30" w:line="288" w:lineRule="auto"/>
        <w:jc w:val="both"/>
        <w:rPr>
          <w:rFonts w:eastAsia="宋体"/>
        </w:rPr>
      </w:pPr>
      <w:r>
        <w:rPr>
          <w:rFonts w:hint="eastAsia" w:eastAsia="宋体"/>
        </w:rPr>
        <w:t>Option-2: Reuse CSI request field in DCI format 0_1/0_2 to trigger the transmission of the UEI beam report</w:t>
      </w:r>
    </w:p>
    <w:p>
      <w:pPr>
        <w:numPr>
          <w:ilvl w:val="2"/>
          <w:numId w:val="26"/>
        </w:numPr>
        <w:snapToGrid w:val="0"/>
        <w:spacing w:before="72" w:beforeLines="30" w:after="72" w:afterLines="30" w:line="288" w:lineRule="auto"/>
        <w:jc w:val="both"/>
        <w:rPr>
          <w:rFonts w:eastAsia="宋体"/>
        </w:rPr>
      </w:pPr>
      <w:r>
        <w:rPr>
          <w:rFonts w:hint="eastAsia" w:eastAsia="宋体"/>
        </w:rPr>
        <w:t>Option-2.1: Explicit association between UEI beam reports and a codepoint of CSI request field</w:t>
      </w:r>
    </w:p>
    <w:p>
      <w:pPr>
        <w:numPr>
          <w:ilvl w:val="3"/>
          <w:numId w:val="26"/>
        </w:numPr>
        <w:snapToGrid w:val="0"/>
        <w:spacing w:before="72" w:beforeLines="30" w:after="72" w:afterLines="30" w:line="288" w:lineRule="auto"/>
        <w:jc w:val="both"/>
        <w:rPr>
          <w:rFonts w:eastAsia="宋体"/>
        </w:rPr>
      </w:pPr>
      <w:r>
        <w:rPr>
          <w:rFonts w:hint="eastAsia" w:eastAsia="宋体"/>
        </w:rPr>
        <w:t>In this option, an AP-CSI trigger state can be associated with the UEIBR configurations explicitly via the configuration of AP-CSI trigger state. Upon receiving a DCI format with CSI request field indicating the AP-CSI trigger state associated with UEIBR configurations, the UE transmits the triggered beam reports corresponding with the corresponding UEIBR configurations on the scheduled PUSCH.</w:t>
      </w:r>
    </w:p>
    <w:p>
      <w:pPr>
        <w:numPr>
          <w:ilvl w:val="3"/>
          <w:numId w:val="26"/>
        </w:numPr>
        <w:snapToGrid w:val="0"/>
        <w:spacing w:before="72" w:beforeLines="30" w:after="72" w:afterLines="30" w:line="288" w:lineRule="auto"/>
        <w:jc w:val="both"/>
        <w:rPr>
          <w:rFonts w:eastAsia="宋体"/>
        </w:rPr>
      </w:pPr>
      <w:r>
        <w:rPr>
          <w:rFonts w:hint="eastAsia" w:eastAsia="宋体"/>
        </w:rPr>
        <w:t xml:space="preserve">Furthermore, a list of UEI CSI trigger states can be configured, where each UEI CSI trigger state can be associated with one or multiple CSI report configurations for UEIBR. If the mapping of AP/UEI CSI trigger state and codepoint of CSI request field is independent, the 1-bit field in Option-1 is still needed.   </w:t>
      </w:r>
    </w:p>
    <w:p>
      <w:pPr>
        <w:numPr>
          <w:ilvl w:val="2"/>
          <w:numId w:val="26"/>
        </w:numPr>
        <w:snapToGrid w:val="0"/>
        <w:spacing w:before="72" w:beforeLines="30" w:after="72" w:afterLines="30" w:line="288" w:lineRule="auto"/>
        <w:jc w:val="both"/>
        <w:rPr>
          <w:rFonts w:eastAsia="宋体"/>
        </w:rPr>
      </w:pPr>
      <w:r>
        <w:rPr>
          <w:rFonts w:hint="eastAsia" w:eastAsia="宋体"/>
        </w:rPr>
        <w:t>Option-2.2: Implicit association between UEI beam reports and a codepoint of CSI request field</w:t>
      </w:r>
    </w:p>
    <w:p>
      <w:pPr>
        <w:numPr>
          <w:ilvl w:val="3"/>
          <w:numId w:val="26"/>
        </w:numPr>
        <w:snapToGrid w:val="0"/>
        <w:spacing w:before="72" w:beforeLines="30" w:after="72" w:afterLines="30" w:line="288" w:lineRule="auto"/>
        <w:jc w:val="both"/>
        <w:rPr>
          <w:rFonts w:eastAsia="宋体"/>
        </w:rPr>
      </w:pPr>
      <w:r>
        <w:rPr>
          <w:rFonts w:hint="eastAsia" w:eastAsia="宋体"/>
        </w:rPr>
        <w:t>A specific codepoint of the CSI request field, which is not mapped with an AP-CSI trigger state, can be used to indicate the triggering of UEI beam report transmission.</w:t>
      </w:r>
    </w:p>
    <w:p>
      <w:pPr>
        <w:numPr>
          <w:ilvl w:val="3"/>
          <w:numId w:val="26"/>
        </w:numPr>
        <w:snapToGrid w:val="0"/>
        <w:spacing w:before="72" w:beforeLines="30" w:after="72" w:afterLines="30" w:line="288" w:lineRule="auto"/>
        <w:jc w:val="both"/>
        <w:rPr>
          <w:rFonts w:eastAsia="宋体"/>
        </w:rPr>
      </w:pPr>
      <w:r>
        <w:rPr>
          <w:rFonts w:hint="eastAsia" w:eastAsia="宋体"/>
        </w:rPr>
        <w:t xml:space="preserve">For instance, if the number of AP CSI trigger states configured to the UE or the number of AP CSI trigger states selected by Aperiodic CSI Trigger State Subselection MAC CE is less than </w:t>
      </w:r>
      <w:r>
        <w:rPr>
          <w:rFonts w:hint="eastAsia" w:eastAsia="宋体"/>
          <w:position w:val="-4"/>
        </w:rPr>
        <w:object>
          <v:shape id="_x0000_i1025" o:spt="75" type="#_x0000_t75" style="height:15pt;width:35.1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eastAsia="宋体"/>
        </w:rPr>
        <w:t xml:space="preserve">, where </w:t>
      </w:r>
      <w:r>
        <w:rPr>
          <w:rFonts w:hint="eastAsia" w:eastAsia="宋体"/>
          <w:i/>
          <w:iCs/>
        </w:rPr>
        <w:t>N</w:t>
      </w:r>
      <w:r>
        <w:rPr>
          <w:rFonts w:hint="eastAsia" w:eastAsia="宋体"/>
          <w:i/>
          <w:iCs/>
          <w:vertAlign w:val="subscript"/>
        </w:rPr>
        <w:t>TS</w:t>
      </w:r>
      <w:r>
        <w:rPr>
          <w:rFonts w:hint="eastAsia" w:eastAsia="宋体"/>
        </w:rPr>
        <w:t xml:space="preserve"> is configured by </w:t>
      </w:r>
      <w:r>
        <w:rPr>
          <w:rFonts w:hint="eastAsia" w:eastAsia="宋体"/>
          <w:i/>
          <w:iCs/>
        </w:rPr>
        <w:t>reportTriggerSize</w:t>
      </w:r>
      <w:r>
        <w:rPr>
          <w:rFonts w:hint="eastAsia" w:eastAsia="宋体"/>
        </w:rPr>
        <w:t xml:space="preserve">, some codepoints can be not mapped with an AP CSI trigger state. DCI formats indicating these codepoints of the CSI request field can trigger the transmission of UEI beam reports.    </w:t>
      </w:r>
    </w:p>
    <w:p>
      <w:pPr>
        <w:snapToGrid w:val="0"/>
        <w:spacing w:before="72" w:beforeLines="30" w:after="72" w:afterLines="30" w:line="288" w:lineRule="auto"/>
        <w:jc w:val="both"/>
        <w:rPr>
          <w:rFonts w:eastAsia="宋体"/>
        </w:rPr>
      </w:pPr>
      <w:r>
        <w:rPr>
          <w:rFonts w:hint="eastAsia" w:eastAsia="宋体"/>
        </w:rPr>
        <w:t>In light of the above, Option-1 is preferred since it is more straightforward and has less impact on the legacy configuration of AP CSI trigger states.</w:t>
      </w:r>
    </w:p>
    <w:p>
      <w:pPr>
        <w:snapToGrid w:val="0"/>
        <w:spacing w:before="72" w:beforeLines="30" w:after="72" w:afterLines="30" w:line="288" w:lineRule="auto"/>
        <w:jc w:val="both"/>
        <w:rPr>
          <w:rFonts w:eastAsia="宋体"/>
          <w:i/>
          <w:iCs/>
        </w:rPr>
      </w:pPr>
      <w:r>
        <w:rPr>
          <w:rFonts w:hint="eastAsia" w:eastAsia="宋体"/>
          <w:b/>
          <w:bCs/>
          <w:i/>
          <w:iCs/>
        </w:rPr>
        <w:t>Proposal 10:</w:t>
      </w:r>
      <w:r>
        <w:rPr>
          <w:rFonts w:hint="eastAsia" w:eastAsia="宋体"/>
          <w:i/>
          <w:iCs/>
        </w:rPr>
        <w:t xml:space="preserve"> On beam report transmission procedure for UE-initiated/event-driven beam reporting, regarding the triggering procedure in Step-2 of Mode-A, support Option-1.</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 xml:space="preserve">Option-1: Introduce a new 1-bit field in DCI format 0_1/0_2 to trigger the transmission of the UEI beam report. </w:t>
      </w:r>
    </w:p>
    <w:p>
      <w:pPr>
        <w:snapToGrid w:val="0"/>
        <w:spacing w:before="72" w:beforeLines="30" w:after="72" w:afterLines="30" w:line="288" w:lineRule="auto"/>
        <w:jc w:val="both"/>
        <w:rPr>
          <w:rFonts w:eastAsia="宋体"/>
        </w:rPr>
      </w:pPr>
      <w:r>
        <w:rPr>
          <w:rFonts w:hint="eastAsia" w:eastAsia="宋体"/>
        </w:rPr>
        <w:t xml:space="preserve">As analyzed in sub-section 3.1, for Mode-A, whether the UEIBR configurations from different CCs can be associated with the same first PUCCH or not is related to whether the beam report can be carried in the second UL channel in the CC where the corresponding CSI report configuration is configured or not. Since it has been agreed that for Mode-B, the beam report should be carried in the second UL channel in the CC where the corresponding CSI report configuration is configured, we prefer to first make the decision regarding the same issue for Mode-A. </w:t>
      </w:r>
    </w:p>
    <w:p>
      <w:pPr>
        <w:adjustRightInd w:val="0"/>
        <w:snapToGrid w:val="0"/>
        <w:spacing w:before="72" w:beforeLines="30" w:after="72" w:afterLines="30" w:line="288" w:lineRule="auto"/>
        <w:jc w:val="both"/>
        <w:rPr>
          <w:rFonts w:eastAsia="宋体"/>
          <w:i/>
          <w:iCs/>
          <w:szCs w:val="20"/>
        </w:rPr>
      </w:pPr>
      <w:r>
        <w:rPr>
          <w:rFonts w:hint="eastAsia" w:eastAsia="宋体"/>
          <w:b/>
          <w:bCs/>
          <w:i/>
          <w:iCs/>
          <w:color w:val="000000"/>
          <w:szCs w:val="20"/>
        </w:rPr>
        <w:t>Proposal 11:</w:t>
      </w:r>
      <w:r>
        <w:rPr>
          <w:rFonts w:hint="eastAsia" w:eastAsia="宋体"/>
          <w:i/>
          <w:iCs/>
          <w:color w:val="000000"/>
          <w:szCs w:val="20"/>
        </w:rPr>
        <w:t xml:space="preserve"> </w:t>
      </w:r>
      <w:r>
        <w:rPr>
          <w:rFonts w:eastAsia="宋体"/>
          <w:i/>
          <w:iCs/>
          <w:color w:val="000000"/>
          <w:szCs w:val="20"/>
        </w:rPr>
        <w:t>On beam report transmission procedure for UE-initiated/</w:t>
      </w:r>
      <w:r>
        <w:rPr>
          <w:rFonts w:eastAsia="宋体"/>
          <w:i/>
          <w:iCs/>
          <w:szCs w:val="20"/>
        </w:rPr>
        <w:t>event-driven beam reporting, regarding Event-2, for Mode-</w:t>
      </w:r>
      <w:r>
        <w:rPr>
          <w:rFonts w:hint="eastAsia" w:eastAsia="宋体"/>
          <w:i/>
          <w:iCs/>
          <w:szCs w:val="20"/>
        </w:rPr>
        <w:t>A</w:t>
      </w:r>
      <w:r>
        <w:rPr>
          <w:rFonts w:eastAsia="宋体"/>
          <w:i/>
          <w:iCs/>
          <w:szCs w:val="20"/>
        </w:rPr>
        <w:t xml:space="preserve">, </w:t>
      </w:r>
      <w:r>
        <w:rPr>
          <w:rFonts w:hint="eastAsia" w:eastAsia="宋体"/>
          <w:i/>
          <w:iCs/>
          <w:szCs w:val="20"/>
        </w:rPr>
        <w:t>support to down-select the following two alternatives.</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Alt-1: The beam report should be carried in the second UL channel in the CC where the corresponding CSI report configuration is configured.</w:t>
      </w:r>
    </w:p>
    <w:p>
      <w:pPr>
        <w:numPr>
          <w:ilvl w:val="1"/>
          <w:numId w:val="12"/>
        </w:numPr>
        <w:snapToGrid w:val="0"/>
        <w:spacing w:before="72" w:beforeLines="30" w:after="72" w:afterLines="30" w:line="288" w:lineRule="auto"/>
        <w:jc w:val="both"/>
        <w:rPr>
          <w:rFonts w:eastAsia="宋体"/>
          <w:i/>
          <w:iCs/>
          <w:szCs w:val="20"/>
        </w:rPr>
      </w:pPr>
      <w:r>
        <w:rPr>
          <w:rFonts w:hint="eastAsia" w:eastAsia="宋体"/>
          <w:i/>
          <w:iCs/>
          <w:szCs w:val="20"/>
        </w:rPr>
        <w:t>The CSI report configurations for UEIBR configured in the same cell can be associated with the same first PUCCH resource.</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Alt-2: The beam report can be carried in the second UL channel in the CC same as or different from the CC where the corresponding CSI report configuration is configured.</w:t>
      </w:r>
    </w:p>
    <w:p>
      <w:pPr>
        <w:numPr>
          <w:ilvl w:val="1"/>
          <w:numId w:val="12"/>
        </w:numPr>
        <w:snapToGrid w:val="0"/>
        <w:spacing w:before="72" w:beforeLines="30" w:after="72" w:afterLines="30" w:line="288" w:lineRule="auto"/>
        <w:jc w:val="both"/>
        <w:rPr>
          <w:rFonts w:eastAsia="宋体"/>
        </w:rPr>
      </w:pPr>
      <w:r>
        <w:rPr>
          <w:rFonts w:hint="eastAsia" w:eastAsia="宋体"/>
          <w:i/>
          <w:iCs/>
          <w:szCs w:val="20"/>
        </w:rPr>
        <w:t>The CSI report configurations for UEIBR configured in different cells can be associated with the same first PUCCH resource.</w:t>
      </w:r>
    </w:p>
    <w:p>
      <w:pPr>
        <w:numPr>
          <w:ilvl w:val="0"/>
          <w:numId w:val="0"/>
        </w:numPr>
        <w:snapToGrid w:val="0"/>
        <w:spacing w:before="72" w:beforeLines="30" w:after="72" w:afterLines="30" w:line="288" w:lineRule="auto"/>
        <w:ind w:left="0" w:firstLine="0"/>
        <w:jc w:val="both"/>
        <w:rPr>
          <w:rFonts w:eastAsia="宋体"/>
          <w:szCs w:val="20"/>
        </w:rPr>
      </w:pPr>
      <w:r>
        <w:rPr>
          <w:rFonts w:hint="eastAsia" w:eastAsia="宋体"/>
          <w:b/>
          <w:bCs/>
          <w:u w:val="single"/>
        </w:rPr>
        <w:t>Mode B</w:t>
      </w:r>
    </w:p>
    <w:p>
      <w:pPr>
        <w:snapToGrid w:val="0"/>
        <w:spacing w:before="72" w:beforeLines="30" w:after="72" w:afterLines="30" w:line="288" w:lineRule="auto"/>
        <w:jc w:val="both"/>
        <w:rPr>
          <w:rFonts w:eastAsia="宋体"/>
          <w:szCs w:val="18"/>
          <w:shd w:val="clear" w:color="auto" w:fill="FFFFFF"/>
        </w:rPr>
      </w:pPr>
      <w:r>
        <w:rPr>
          <w:rFonts w:hint="eastAsia" w:eastAsia="宋体"/>
        </w:rPr>
        <w:t xml:space="preserve">Analogous to the configuration of the first PUCCH, multiple CSI report settings for UEIBR should be associated with the same second UL channel to improve resource efficiency under the assumption that the report </w:t>
      </w:r>
      <w:r>
        <w:rPr>
          <w:rFonts w:hint="eastAsia" w:eastAsia="宋体"/>
          <w:szCs w:val="18"/>
          <w:shd w:val="clear" w:color="auto" w:fill="FFFFFF"/>
        </w:rPr>
        <w:t>triggering of multiple UEIBR configurations is sparse in time domain.</w:t>
      </w:r>
    </w:p>
    <w:p>
      <w:pPr>
        <w:snapToGrid w:val="0"/>
        <w:spacing w:before="72" w:beforeLines="30" w:after="72" w:afterLines="30" w:line="288" w:lineRule="auto"/>
        <w:jc w:val="both"/>
        <w:rPr>
          <w:rFonts w:eastAsia="宋体"/>
          <w:szCs w:val="18"/>
          <w:shd w:val="clear" w:color="auto" w:fill="FFFFFF"/>
        </w:rPr>
      </w:pPr>
      <w:r>
        <w:rPr>
          <w:rFonts w:hint="eastAsia" w:eastAsia="宋体"/>
          <w:szCs w:val="18"/>
          <w:shd w:val="clear" w:color="auto" w:fill="FFFFFF"/>
        </w:rPr>
        <w:t>As shown in Figure 4, in order to support both same-CC and cross-CC beam reporting, the RS resource set for new beams configured for a CSI report setting can be either from the same or different CC in which the CSI report setting is configured. Consequently, since the first PUCCH can only be from PCell, the first and second channels can be from the same or different CC depending on whether the CSI report setting is configured in PCell or SCell.</w:t>
      </w:r>
    </w:p>
    <w:p>
      <w:pPr>
        <w:snapToGrid w:val="0"/>
        <w:spacing w:before="72" w:beforeLines="30" w:after="72" w:afterLines="30" w:line="288" w:lineRule="auto"/>
        <w:jc w:val="center"/>
        <w:rPr>
          <w:rFonts w:eastAsia="宋体"/>
          <w:szCs w:val="18"/>
          <w:shd w:val="clear" w:color="auto" w:fill="FFFFFF"/>
        </w:rPr>
      </w:pPr>
      <w:r>
        <w:rPr>
          <w:rFonts w:eastAsia="宋体"/>
          <w:szCs w:val="18"/>
          <w:shd w:val="clear" w:color="auto" w:fill="FFFFFF"/>
        </w:rPr>
        <w:drawing>
          <wp:inline distT="0" distB="0" distL="114300" distR="114300">
            <wp:extent cx="3462020" cy="2061845"/>
            <wp:effectExtent l="0" t="0" r="5080" b="14605"/>
            <wp:docPr id="2" name="图片 2" descr="ModeBshared2ndChan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odeBshared2ndChannel"/>
                    <pic:cNvPicPr>
                      <a:picLocks noChangeAspect="1"/>
                    </pic:cNvPicPr>
                  </pic:nvPicPr>
                  <pic:blipFill>
                    <a:blip r:embed="rId12"/>
                    <a:stretch>
                      <a:fillRect/>
                    </a:stretch>
                  </pic:blipFill>
                  <pic:spPr>
                    <a:xfrm>
                      <a:off x="0" y="0"/>
                      <a:ext cx="3462020" cy="2061845"/>
                    </a:xfrm>
                    <a:prstGeom prst="rect">
                      <a:avLst/>
                    </a:prstGeom>
                  </pic:spPr>
                </pic:pic>
              </a:graphicData>
            </a:graphic>
          </wp:inline>
        </w:drawing>
      </w:r>
    </w:p>
    <w:p>
      <w:pPr>
        <w:snapToGrid w:val="0"/>
        <w:spacing w:before="72" w:beforeLines="30" w:after="72" w:afterLines="30" w:line="288" w:lineRule="auto"/>
        <w:jc w:val="center"/>
        <w:rPr>
          <w:rFonts w:eastAsia="宋体"/>
          <w:szCs w:val="18"/>
          <w:shd w:val="clear" w:color="auto" w:fill="FFFFFF"/>
        </w:rPr>
      </w:pPr>
      <w:r>
        <w:rPr>
          <w:rFonts w:hint="eastAsia" w:eastAsia="宋体"/>
          <w:b/>
          <w:bCs/>
          <w:szCs w:val="18"/>
          <w:shd w:val="clear" w:color="auto" w:fill="FFFFFF"/>
        </w:rPr>
        <w:t>Figure 4</w:t>
      </w:r>
      <w:r>
        <w:rPr>
          <w:rFonts w:hint="eastAsia" w:eastAsia="宋体"/>
          <w:szCs w:val="18"/>
          <w:shd w:val="clear" w:color="auto" w:fill="FFFFFF"/>
        </w:rPr>
        <w:t xml:space="preserve"> CSI report setting for UEIBR in case of same-CC and cross-CC beam reporting</w:t>
      </w:r>
    </w:p>
    <w:p>
      <w:pPr>
        <w:snapToGrid w:val="0"/>
        <w:spacing w:before="72" w:beforeLines="30" w:after="72" w:afterLines="30" w:line="288" w:lineRule="auto"/>
        <w:jc w:val="both"/>
        <w:rPr>
          <w:rFonts w:eastAsia="宋体"/>
          <w:i/>
          <w:iCs/>
        </w:rPr>
      </w:pPr>
      <w:r>
        <w:rPr>
          <w:rFonts w:hint="eastAsia" w:eastAsia="宋体"/>
          <w:b/>
          <w:bCs/>
          <w:i/>
          <w:iCs/>
        </w:rPr>
        <w:t>Proposal 12:</w:t>
      </w:r>
      <w:r>
        <w:rPr>
          <w:rFonts w:hint="eastAsia" w:eastAsia="宋体"/>
          <w:i/>
          <w:iCs/>
        </w:rPr>
        <w:t xml:space="preserve"> On beam report transmission procedure for UE-initiated/event-driven beam reporting, regarding Event-2, for at least Mode-B, support that multiple CSI report settings for UEIBR configured in the same CC can be associated with a same second UL channel.</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Note: </w:t>
      </w:r>
      <w:r>
        <w:rPr>
          <w:rFonts w:eastAsia="宋体"/>
          <w:i/>
          <w:iCs/>
        </w:rPr>
        <w:t>T</w:t>
      </w:r>
      <w:r>
        <w:rPr>
          <w:rFonts w:hint="eastAsia" w:eastAsia="宋体"/>
          <w:i/>
          <w:iCs/>
        </w:rPr>
        <w:t xml:space="preserve">he first </w:t>
      </w:r>
      <w:r>
        <w:rPr>
          <w:rFonts w:eastAsia="宋体"/>
          <w:i/>
          <w:iCs/>
        </w:rPr>
        <w:t xml:space="preserve">PUCCH </w:t>
      </w:r>
      <w:r>
        <w:rPr>
          <w:rFonts w:hint="eastAsia" w:eastAsia="宋体"/>
          <w:i/>
          <w:iCs/>
        </w:rPr>
        <w:t>channel can be</w:t>
      </w:r>
      <w:r>
        <w:rPr>
          <w:rFonts w:eastAsia="宋体"/>
          <w:i/>
          <w:iCs/>
        </w:rPr>
        <w:t xml:space="preserve"> from</w:t>
      </w:r>
      <w:r>
        <w:rPr>
          <w:rFonts w:hint="eastAsia" w:eastAsia="宋体"/>
          <w:i/>
          <w:iCs/>
        </w:rPr>
        <w:t xml:space="preserve"> the same </w:t>
      </w:r>
      <w:r>
        <w:rPr>
          <w:rFonts w:eastAsia="宋体"/>
          <w:i/>
          <w:iCs/>
        </w:rPr>
        <w:t xml:space="preserve">as </w:t>
      </w:r>
      <w:r>
        <w:rPr>
          <w:rFonts w:hint="eastAsia" w:eastAsia="宋体"/>
          <w:i/>
          <w:iCs/>
        </w:rPr>
        <w:t xml:space="preserve">or different </w:t>
      </w:r>
      <w:r>
        <w:rPr>
          <w:rFonts w:eastAsia="宋体"/>
          <w:i/>
          <w:iCs/>
        </w:rPr>
        <w:t xml:space="preserve">from the </w:t>
      </w:r>
      <w:r>
        <w:rPr>
          <w:rFonts w:hint="eastAsia" w:eastAsia="宋体"/>
          <w:i/>
          <w:iCs/>
        </w:rPr>
        <w:t>CC</w:t>
      </w:r>
      <w:r>
        <w:rPr>
          <w:rFonts w:eastAsia="宋体"/>
          <w:i/>
          <w:iCs/>
        </w:rPr>
        <w:t xml:space="preserve"> </w:t>
      </w:r>
      <w:r>
        <w:rPr>
          <w:rFonts w:hint="eastAsia" w:eastAsia="宋体"/>
          <w:i/>
          <w:iCs/>
        </w:rPr>
        <w:t>in which the CSI report settings for UEIBR is configured.</w:t>
      </w:r>
    </w:p>
    <w:p>
      <w:pPr>
        <w:snapToGrid w:val="0"/>
        <w:spacing w:before="72" w:beforeLines="30" w:after="72" w:afterLines="30" w:line="288" w:lineRule="auto"/>
        <w:jc w:val="both"/>
        <w:rPr>
          <w:rFonts w:eastAsia="宋体"/>
        </w:rPr>
      </w:pPr>
      <w:r>
        <w:rPr>
          <w:rFonts w:hint="eastAsia" w:eastAsia="宋体"/>
        </w:rPr>
        <w:t xml:space="preserve">As shown in Figure 5, the same Type-1 CG PUSCH carrying UL-SCH and the beam report (i.e., Option-1) is critical to improve the resource efficiency. Consequently, the UE does not transmit anything on the resources configured by </w:t>
      </w:r>
      <w:r>
        <w:rPr>
          <w:rFonts w:hint="eastAsia" w:eastAsia="宋体"/>
          <w:i/>
          <w:iCs/>
        </w:rPr>
        <w:t>configuredGrantConfig</w:t>
      </w:r>
      <w:r>
        <w:rPr>
          <w:rFonts w:hint="eastAsia" w:eastAsia="宋体"/>
        </w:rPr>
        <w:t xml:space="preserve"> if there is no UL-SCH transport block and no UE-initiated beam report to be transmitted on the resources allocated for uplink transmission without grant. Meanwhile, whether UL-SCH can be transmitted on the Type-1 CG PUSCH should be independent of the first PUCCH transmission, otherwise, the first PUCCH would also serve to inform the presence of UL-SCH, which is not </w:t>
      </w:r>
      <w:r>
        <w:rPr>
          <w:rFonts w:eastAsia="宋体"/>
        </w:rPr>
        <w:t>expected</w:t>
      </w:r>
      <w:r>
        <w:rPr>
          <w:rFonts w:hint="eastAsia" w:eastAsia="宋体"/>
        </w:rPr>
        <w:t>.</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3579495" cy="1177290"/>
            <wp:effectExtent l="0" t="0" r="1905" b="3810"/>
            <wp:docPr id="9" name="图片 9" descr="type1cgcarry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ype1cgcarrydata"/>
                    <pic:cNvPicPr>
                      <a:picLocks noChangeAspect="1"/>
                    </pic:cNvPicPr>
                  </pic:nvPicPr>
                  <pic:blipFill>
                    <a:blip r:embed="rId13"/>
                    <a:stretch>
                      <a:fillRect/>
                    </a:stretch>
                  </pic:blipFill>
                  <pic:spPr>
                    <a:xfrm>
                      <a:off x="0" y="0"/>
                      <a:ext cx="3579495" cy="1177290"/>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5</w:t>
      </w:r>
      <w:r>
        <w:rPr>
          <w:rFonts w:hint="eastAsia" w:eastAsia="宋体"/>
        </w:rPr>
        <w:t xml:space="preserve"> Type-1 CG-PUSCH carrying UL-SCH and UEIBR</w:t>
      </w:r>
    </w:p>
    <w:p>
      <w:pPr>
        <w:snapToGrid w:val="0"/>
        <w:spacing w:before="72" w:beforeLines="30" w:after="72" w:afterLines="30" w:line="288" w:lineRule="auto"/>
        <w:jc w:val="both"/>
        <w:rPr>
          <w:rFonts w:eastAsia="宋体"/>
        </w:rPr>
      </w:pPr>
      <w:r>
        <w:rPr>
          <w:rFonts w:hint="eastAsia" w:eastAsia="宋体"/>
        </w:rPr>
        <w:t>Overlapping handling between PUSCH carrying UEIBR and PUCCH is elaborated in the following.</w:t>
      </w:r>
    </w:p>
    <w:p>
      <w:pPr>
        <w:numPr>
          <w:ilvl w:val="1"/>
          <w:numId w:val="26"/>
        </w:numPr>
        <w:snapToGrid w:val="0"/>
        <w:spacing w:before="72" w:beforeLines="30" w:after="72" w:afterLines="30" w:line="288" w:lineRule="auto"/>
        <w:jc w:val="both"/>
        <w:rPr>
          <w:rFonts w:eastAsia="宋体"/>
        </w:rPr>
      </w:pPr>
      <w:r>
        <w:rPr>
          <w:rFonts w:hint="eastAsia" w:eastAsia="宋体"/>
        </w:rPr>
        <w:t>Case-1: PUCCH for HARQ-ACK</w:t>
      </w:r>
    </w:p>
    <w:p>
      <w:pPr>
        <w:numPr>
          <w:ilvl w:val="2"/>
          <w:numId w:val="26"/>
        </w:numPr>
        <w:snapToGrid w:val="0"/>
        <w:spacing w:before="72" w:beforeLines="30" w:after="72" w:afterLines="30" w:line="288" w:lineRule="auto"/>
        <w:jc w:val="both"/>
        <w:rPr>
          <w:rFonts w:eastAsia="宋体"/>
        </w:rPr>
      </w:pPr>
      <w:r>
        <w:rPr>
          <w:rFonts w:hint="eastAsia" w:eastAsia="宋体"/>
        </w:rPr>
        <w:t>When a PUCCH carrying HARQ-ACK overlaps with a PUSCH, the HARQ-ACK information is multiplexed on the PUSCH typically. This does not require additional specification efforts when the PUSCH is applied for carrying UEIBR.</w:t>
      </w:r>
    </w:p>
    <w:p>
      <w:pPr>
        <w:numPr>
          <w:ilvl w:val="1"/>
          <w:numId w:val="26"/>
        </w:numPr>
        <w:snapToGrid w:val="0"/>
        <w:spacing w:before="72" w:beforeLines="30" w:after="72" w:afterLines="30" w:line="288" w:lineRule="auto"/>
        <w:jc w:val="both"/>
        <w:rPr>
          <w:rFonts w:eastAsia="宋体"/>
        </w:rPr>
      </w:pPr>
      <w:r>
        <w:rPr>
          <w:rFonts w:hint="eastAsia" w:eastAsia="宋体"/>
        </w:rPr>
        <w:t>Case-2: PUCCH for SR</w:t>
      </w:r>
    </w:p>
    <w:p>
      <w:pPr>
        <w:numPr>
          <w:ilvl w:val="2"/>
          <w:numId w:val="26"/>
        </w:numPr>
        <w:snapToGrid w:val="0"/>
        <w:spacing w:before="72" w:beforeLines="30" w:after="72" w:afterLines="30" w:line="288" w:lineRule="auto"/>
        <w:jc w:val="both"/>
        <w:rPr>
          <w:rFonts w:eastAsia="宋体"/>
        </w:rPr>
      </w:pPr>
      <w:r>
        <w:rPr>
          <w:rFonts w:hint="eastAsia" w:eastAsia="宋体"/>
        </w:rPr>
        <w:t>In legacy, when a PUCCH carrying positive SR overlaps with a PUSCH, if the PUSCH does not include UL-SCH, UE does not transmit the PUSCH. Otherwise, UE transmits the PUSCH and does not multiplex the SR. Depending on whether the first PUCCH in Mode B can be regarded as an SR, enhancements on overlapping handling between PUSCH and first PUCCH may be needed.</w:t>
      </w:r>
    </w:p>
    <w:p>
      <w:pPr>
        <w:numPr>
          <w:ilvl w:val="1"/>
          <w:numId w:val="26"/>
        </w:numPr>
        <w:snapToGrid w:val="0"/>
        <w:spacing w:before="72" w:beforeLines="30" w:after="72" w:afterLines="30" w:line="288" w:lineRule="auto"/>
        <w:jc w:val="both"/>
        <w:rPr>
          <w:rFonts w:eastAsia="宋体"/>
          <w:b/>
          <w:bCs/>
          <w:u w:val="single"/>
        </w:rPr>
      </w:pPr>
      <w:r>
        <w:rPr>
          <w:rFonts w:hint="eastAsia" w:eastAsia="宋体"/>
        </w:rPr>
        <w:t>Case-3: PUCCH for CSI</w:t>
      </w:r>
    </w:p>
    <w:p>
      <w:pPr>
        <w:numPr>
          <w:ilvl w:val="2"/>
          <w:numId w:val="26"/>
        </w:numPr>
        <w:snapToGrid w:val="0"/>
        <w:spacing w:before="72" w:beforeLines="30" w:after="72" w:afterLines="30" w:line="288" w:lineRule="auto"/>
        <w:jc w:val="both"/>
        <w:rPr>
          <w:rFonts w:eastAsia="宋体"/>
          <w:b/>
          <w:bCs/>
          <w:u w:val="single"/>
        </w:rPr>
      </w:pPr>
      <w:r>
        <w:rPr>
          <w:rFonts w:hint="eastAsia" w:eastAsia="宋体"/>
        </w:rPr>
        <w:t>Based on the following rules as defined in TS 38.213 for PUSCH overlapping with PUCCH, CSI reports in the PUCCH may not be multiplexed in the PUSCH unless the PUSCH does not carry CSI reports before multiplexing.</w:t>
      </w:r>
    </w:p>
    <w:p>
      <w:pPr>
        <w:numPr>
          <w:ilvl w:val="2"/>
          <w:numId w:val="26"/>
        </w:numPr>
        <w:snapToGrid w:val="0"/>
        <w:spacing w:before="72" w:beforeLines="30" w:after="72" w:afterLines="30" w:line="288" w:lineRule="auto"/>
        <w:jc w:val="both"/>
        <w:rPr>
          <w:rFonts w:eastAsia="宋体"/>
          <w:b/>
          <w:bCs/>
          <w:u w:val="single"/>
        </w:rPr>
      </w:pPr>
      <w:r>
        <w:rPr>
          <w:rFonts w:hint="eastAsia" w:eastAsia="宋体"/>
        </w:rPr>
        <w:t>Accordingly, by leveraging the legacy rule, when a PUSCH carrying a UEIBR overlaps with a PUCCH carrying CSI reports, UE does not multiplex the CSI reports from the PUCCH. Consequently, CSI priority value and CSI omission rule can be reused.</w:t>
      </w:r>
    </w:p>
    <w:p>
      <w:pPr>
        <w:numPr>
          <w:ilvl w:val="0"/>
          <w:numId w:val="27"/>
        </w:numPr>
        <w:snapToGrid w:val="0"/>
        <w:spacing w:before="72" w:beforeLines="30" w:after="72" w:afterLines="30" w:line="288" w:lineRule="auto"/>
        <w:jc w:val="both"/>
        <w:rPr>
          <w:rFonts w:eastAsia="宋体"/>
          <w:b/>
          <w:bCs/>
          <w:u w:val="single"/>
        </w:rPr>
      </w:pPr>
      <w:r>
        <w:rPr>
          <w:rFonts w:hint="eastAsia" w:eastAsia="宋体"/>
          <w:b/>
          <w:bCs/>
        </w:rPr>
        <w:t>TS 38.213</w:t>
      </w:r>
    </w:p>
    <w:tbl>
      <w:tblPr>
        <w:tblStyle w:val="24"/>
        <w:tblW w:w="0" w:type="auto"/>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05" w:type="dxa"/>
          </w:tcPr>
          <w:p>
            <w:pPr>
              <w:pStyle w:val="111"/>
              <w:snapToGrid w:val="0"/>
              <w:spacing w:before="72" w:beforeLines="30" w:after="72" w:afterLines="30" w:line="288" w:lineRule="auto"/>
              <w:ind w:firstLine="0" w:firstLineChars="0"/>
              <w:jc w:val="both"/>
              <w:rPr>
                <w:b/>
                <w:bCs/>
                <w:sz w:val="21"/>
                <w:szCs w:val="24"/>
              </w:rPr>
            </w:pPr>
            <w:r>
              <w:rPr>
                <w:rFonts w:hint="eastAsia" w:eastAsia="宋体"/>
                <w:b/>
                <w:bCs/>
                <w:sz w:val="21"/>
                <w:szCs w:val="24"/>
              </w:rPr>
              <w:t xml:space="preserve">9  </w:t>
            </w:r>
            <w:r>
              <w:rPr>
                <w:rFonts w:hint="eastAsia"/>
                <w:b/>
                <w:bCs/>
                <w:sz w:val="21"/>
                <w:szCs w:val="24"/>
              </w:rPr>
              <w:t>UE procedure for reporting control information</w:t>
            </w:r>
          </w:p>
          <w:p>
            <w:pPr>
              <w:pStyle w:val="47"/>
              <w:spacing w:before="72" w:beforeLines="30" w:after="72" w:afterLines="30" w:line="288" w:lineRule="auto"/>
              <w:jc w:val="center"/>
              <w:rPr>
                <w:lang w:val="en-US" w:eastAsia="zh-CN"/>
              </w:rPr>
            </w:pPr>
            <w:r>
              <w:rPr>
                <w:color w:val="FF0000"/>
              </w:rPr>
              <w:t>&lt;</w:t>
            </w:r>
            <w:r>
              <w:rPr>
                <w:rFonts w:hint="eastAsia" w:eastAsia="宋体"/>
                <w:color w:val="FF0000"/>
                <w:lang w:val="en-US" w:eastAsia="zh-CN"/>
              </w:rPr>
              <w:t xml:space="preserve">Irrelevant </w:t>
            </w:r>
            <w:r>
              <w:rPr>
                <w:color w:val="FF0000"/>
              </w:rPr>
              <w:t>parts are omitted&gt;</w:t>
            </w:r>
          </w:p>
          <w:p>
            <w:pPr>
              <w:spacing w:before="72" w:beforeLines="30" w:after="72" w:afterLines="30" w:line="288" w:lineRule="auto"/>
            </w:pPr>
            <w:r>
              <w:t xml:space="preserve">If a UE </w:t>
            </w:r>
          </w:p>
          <w:p>
            <w:pPr>
              <w:pStyle w:val="47"/>
              <w:spacing w:before="72" w:beforeLines="30" w:after="72" w:afterLines="30" w:line="288" w:lineRule="auto"/>
            </w:pPr>
            <w:r>
              <w:t>-</w:t>
            </w:r>
            <w:r>
              <w:tab/>
            </w:r>
            <w:r>
              <w:t xml:space="preserve">would multiplex UCI in a PUCCH transmission that overlaps with a PUSCH transmission, and </w:t>
            </w:r>
          </w:p>
          <w:p>
            <w:pPr>
              <w:pStyle w:val="47"/>
              <w:spacing w:before="72" w:beforeLines="30" w:after="72" w:afterLines="30" w:line="288" w:lineRule="auto"/>
            </w:pPr>
            <w:r>
              <w:t>-</w:t>
            </w:r>
            <w:r>
              <w:tab/>
            </w:r>
            <w:r>
              <w:t xml:space="preserve">the PUSCH and PUCCH transmissions fulfil the conditions in clause 9.2.5 for UCI multiplexing, </w:t>
            </w:r>
          </w:p>
          <w:p>
            <w:pPr>
              <w:spacing w:before="72" w:beforeLines="30" w:after="72" w:afterLines="30" w:line="288" w:lineRule="auto"/>
            </w:pPr>
            <w:r>
              <w:t xml:space="preserve">the UE </w:t>
            </w:r>
          </w:p>
          <w:p>
            <w:pPr>
              <w:pStyle w:val="47"/>
              <w:spacing w:before="72" w:beforeLines="30" w:after="72" w:afterLines="30" w:line="288" w:lineRule="auto"/>
            </w:pPr>
            <w:r>
              <w:t>-</w:t>
            </w:r>
            <w:r>
              <w:tab/>
            </w:r>
            <w:r>
              <w:t>multiplexes only HARQ-ACK information, if any, from the UCI in the PUSCH transmission and does not transmit the PUCCH if the UE multiplexes aperiodic or semi-persistent CSI reports in the PUSCH;</w:t>
            </w:r>
          </w:p>
          <w:p>
            <w:pPr>
              <w:pStyle w:val="47"/>
              <w:spacing w:before="72" w:beforeLines="30" w:after="72" w:afterLines="30" w:line="288" w:lineRule="auto"/>
            </w:pPr>
            <w:r>
              <w:t>-</w:t>
            </w:r>
            <w:r>
              <w:tab/>
            </w:r>
            <w:r>
              <w:t>multiplexes only HARQ-ACK information and CSI reports, if any, from the UCI in the PUSCH transmission and does not transmit the PUCCH if the UE does not multiplex aperiodic or semi-persistent CSI reports in the PUSCH.</w:t>
            </w:r>
          </w:p>
          <w:p>
            <w:pPr>
              <w:pStyle w:val="111"/>
              <w:snapToGrid w:val="0"/>
              <w:spacing w:before="72" w:beforeLines="30" w:after="72" w:afterLines="30" w:line="288" w:lineRule="auto"/>
              <w:ind w:firstLine="0" w:firstLineChars="0"/>
              <w:jc w:val="center"/>
            </w:pPr>
            <w:r>
              <w:rPr>
                <w:color w:val="FF0000"/>
              </w:rPr>
              <w:t>&lt;</w:t>
            </w:r>
            <w:r>
              <w:rPr>
                <w:rFonts w:hint="eastAsia" w:eastAsia="宋体"/>
                <w:color w:val="FF0000"/>
              </w:rPr>
              <w:t xml:space="preserve">Irrelevant </w:t>
            </w:r>
            <w:r>
              <w:rPr>
                <w:color w:val="FF0000"/>
              </w:rPr>
              <w:t>parts are omitted&gt;</w:t>
            </w:r>
          </w:p>
        </w:tc>
      </w:tr>
    </w:tbl>
    <w:p>
      <w:pPr>
        <w:numPr>
          <w:ilvl w:val="1"/>
          <w:numId w:val="26"/>
        </w:numPr>
        <w:snapToGrid w:val="0"/>
        <w:spacing w:before="72" w:beforeLines="30" w:after="72" w:afterLines="30" w:line="288" w:lineRule="auto"/>
        <w:jc w:val="both"/>
        <w:rPr>
          <w:rFonts w:eastAsia="宋体"/>
          <w:b/>
          <w:bCs/>
          <w:i/>
          <w:iCs/>
        </w:rPr>
      </w:pPr>
      <w:r>
        <w:rPr>
          <w:rFonts w:hint="eastAsia" w:eastAsia="宋体"/>
        </w:rPr>
        <w:t>It can be observed that quite less specification efforts are required if other UCI can be multiplexed on the PUSCH carrying UEIBR.</w:t>
      </w:r>
    </w:p>
    <w:p>
      <w:pPr>
        <w:snapToGrid w:val="0"/>
        <w:spacing w:before="72" w:beforeLines="30" w:after="72" w:afterLines="30" w:line="288" w:lineRule="auto"/>
        <w:jc w:val="both"/>
        <w:rPr>
          <w:rFonts w:eastAsia="宋体"/>
          <w:i/>
          <w:iCs/>
        </w:rPr>
      </w:pPr>
      <w:r>
        <w:rPr>
          <w:rFonts w:hint="eastAsia" w:eastAsia="宋体"/>
          <w:b/>
          <w:bCs/>
          <w:i/>
          <w:iCs/>
        </w:rPr>
        <w:t xml:space="preserve">Proposal 12: </w:t>
      </w:r>
      <w:r>
        <w:rPr>
          <w:rFonts w:hint="eastAsia" w:eastAsia="宋体"/>
          <w:i/>
          <w:iCs/>
        </w:rPr>
        <w:t>On beam report transmission procedure for UE-initiated/event-driven beam reporting, for the case the pre-configured Type-1 CG PUSCH carry the beam report in Mode-B, support Option-1</w:t>
      </w:r>
      <w:r>
        <w:rPr>
          <w:rFonts w:eastAsia="宋体"/>
          <w:i/>
          <w:iCs/>
        </w:rPr>
        <w:t>, support that:</w:t>
      </w:r>
    </w:p>
    <w:p>
      <w:pPr>
        <w:numPr>
          <w:ilvl w:val="0"/>
          <w:numId w:val="12"/>
        </w:numPr>
        <w:snapToGrid w:val="0"/>
        <w:spacing w:before="72" w:beforeLines="30" w:after="72" w:afterLines="30" w:line="288" w:lineRule="auto"/>
        <w:jc w:val="both"/>
        <w:rPr>
          <w:rFonts w:eastAsia="宋体"/>
        </w:rPr>
      </w:pPr>
      <w:r>
        <w:rPr>
          <w:rFonts w:hint="eastAsia" w:eastAsia="宋体"/>
          <w:i/>
          <w:iCs/>
        </w:rPr>
        <w:t>Option-1: The same Type-1 CG PUSCH can carry UL-SCH and the beam report.</w:t>
      </w:r>
    </w:p>
    <w:p>
      <w:pPr>
        <w:numPr>
          <w:ilvl w:val="0"/>
          <w:numId w:val="12"/>
        </w:numPr>
        <w:snapToGrid w:val="0"/>
        <w:spacing w:before="72" w:beforeLines="30" w:after="72" w:afterLines="30" w:line="288" w:lineRule="auto"/>
        <w:jc w:val="both"/>
        <w:rPr>
          <w:rFonts w:eastAsia="宋体"/>
        </w:rPr>
      </w:pPr>
      <w:r>
        <w:rPr>
          <w:rFonts w:hint="eastAsia" w:eastAsia="宋体"/>
          <w:i/>
          <w:iCs/>
        </w:rPr>
        <w:t xml:space="preserve">The same Type-1 CG PUSCH can multiplex </w:t>
      </w:r>
      <w:r>
        <w:rPr>
          <w:rFonts w:eastAsia="宋体"/>
          <w:i/>
          <w:iCs/>
        </w:rPr>
        <w:t xml:space="preserve">with </w:t>
      </w:r>
      <w:r>
        <w:rPr>
          <w:rFonts w:hint="eastAsia" w:eastAsia="宋体"/>
          <w:i/>
          <w:iCs/>
        </w:rPr>
        <w:t>other UCI</w:t>
      </w:r>
      <w:r>
        <w:rPr>
          <w:rFonts w:eastAsia="宋体"/>
          <w:i/>
          <w:iCs/>
        </w:rPr>
        <w:t>s</w:t>
      </w:r>
      <w:r>
        <w:rPr>
          <w:rFonts w:hint="eastAsia" w:eastAsia="宋体"/>
          <w:i/>
          <w:iCs/>
        </w:rPr>
        <w:t>.</w:t>
      </w:r>
    </w:p>
    <w:p>
      <w:pPr>
        <w:numPr>
          <w:ilvl w:val="1"/>
          <w:numId w:val="12"/>
        </w:numPr>
        <w:snapToGrid w:val="0"/>
        <w:spacing w:before="72" w:beforeLines="30" w:after="72" w:afterLines="30" w:line="288" w:lineRule="auto"/>
        <w:jc w:val="both"/>
        <w:rPr>
          <w:rFonts w:eastAsia="宋体"/>
        </w:rPr>
      </w:pPr>
      <w:r>
        <w:rPr>
          <w:rFonts w:hint="eastAsia" w:eastAsia="宋体"/>
          <w:i/>
          <w:iCs/>
        </w:rPr>
        <w:t>Leverage the legacy multiplexing rules as much as possible</w:t>
      </w:r>
      <w:r>
        <w:rPr>
          <w:rFonts w:eastAsia="宋体"/>
          <w:i/>
          <w:iCs/>
        </w:rPr>
        <w:t xml:space="preserve">, i.e., </w:t>
      </w:r>
    </w:p>
    <w:p>
      <w:pPr>
        <w:numPr>
          <w:ilvl w:val="2"/>
          <w:numId w:val="12"/>
        </w:numPr>
        <w:snapToGrid w:val="0"/>
        <w:spacing w:before="72" w:beforeLines="30" w:after="72" w:afterLines="30" w:line="288" w:lineRule="auto"/>
        <w:jc w:val="both"/>
        <w:rPr>
          <w:rFonts w:eastAsia="宋体"/>
        </w:rPr>
      </w:pPr>
      <w:r>
        <w:rPr>
          <w:rFonts w:hint="eastAsia" w:eastAsia="宋体"/>
          <w:i/>
          <w:iCs/>
          <w:szCs w:val="20"/>
        </w:rPr>
        <w:t>UE does not multiplex CSI reports from the PUCCH in the PUSCH carrying a UEIBR.</w:t>
      </w:r>
    </w:p>
    <w:p>
      <w:pPr>
        <w:numPr>
          <w:ilvl w:val="2"/>
          <w:numId w:val="12"/>
        </w:numPr>
        <w:snapToGrid w:val="0"/>
        <w:spacing w:before="72" w:beforeLines="30" w:after="72" w:afterLines="30" w:line="288" w:lineRule="auto"/>
        <w:jc w:val="both"/>
        <w:rPr>
          <w:rFonts w:eastAsia="宋体"/>
        </w:rPr>
      </w:pPr>
      <w:r>
        <w:rPr>
          <w:rFonts w:hint="eastAsia" w:eastAsia="宋体"/>
          <w:i/>
          <w:iCs/>
          <w:szCs w:val="20"/>
        </w:rPr>
        <w:t>FFS: Additional rules for overlapping handling between the first PUCCH and the Type-1 CG PUSCH.</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u w:val="single"/>
        </w:rPr>
      </w:pPr>
      <w:r>
        <w:rPr>
          <w:rFonts w:hint="eastAsia" w:eastAsia="宋体"/>
          <w:b/>
          <w:bCs/>
          <w:sz w:val="24"/>
          <w:szCs w:val="24"/>
        </w:rPr>
        <w:t>Association between the first and second UL channel in Mode-B</w:t>
      </w:r>
    </w:p>
    <w:p>
      <w:pPr>
        <w:snapToGrid w:val="0"/>
        <w:spacing w:before="72" w:beforeLines="30" w:after="72" w:afterLines="30" w:line="288" w:lineRule="auto"/>
        <w:jc w:val="both"/>
        <w:rPr>
          <w:rFonts w:eastAsia="宋体"/>
        </w:rPr>
      </w:pPr>
      <w:r>
        <w:rPr>
          <w:rFonts w:hint="eastAsia" w:eastAsia="宋体"/>
        </w:rPr>
        <w:t>In RAN1#118 meeting, the following agreements on UE initiated beam report triggering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szCs w:val="20"/>
              </w:rPr>
            </w:pPr>
            <w:r>
              <w:rPr>
                <w:rFonts w:eastAsia="等线"/>
                <w:b/>
                <w:bCs/>
                <w:u w:val="single"/>
              </w:rPr>
              <w:t>Agreement</w:t>
            </w:r>
          </w:p>
          <w:p>
            <w:pPr>
              <w:snapToGrid w:val="0"/>
              <w:spacing w:before="72" w:beforeLines="30" w:after="72" w:afterLines="30" w:line="288" w:lineRule="auto"/>
              <w:jc w:val="both"/>
            </w:pPr>
            <w:r>
              <w:rPr>
                <w:rFonts w:eastAsia="宋体"/>
                <w:color w:val="000000"/>
                <w:szCs w:val="20"/>
              </w:rPr>
              <w:t xml:space="preserve">On beam report </w:t>
            </w:r>
            <w:r>
              <w:rPr>
                <w:rFonts w:eastAsia="宋体"/>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pPr>
              <w:snapToGrid w:val="0"/>
              <w:spacing w:before="72" w:beforeLines="30" w:after="72" w:afterLines="30" w:line="288" w:lineRule="auto"/>
              <w:jc w:val="both"/>
              <w:rPr>
                <w:szCs w:val="20"/>
              </w:rPr>
            </w:pPr>
            <w:r>
              <w:rPr>
                <w:rFonts w:eastAsia="等线"/>
                <w:b/>
                <w:bCs/>
                <w:u w:val="single"/>
              </w:rPr>
              <w:t>Agreement</w:t>
            </w:r>
          </w:p>
          <w:p>
            <w:pPr>
              <w:adjustRightInd w:val="0"/>
              <w:snapToGrid w:val="0"/>
              <w:spacing w:before="72" w:beforeLines="30" w:after="72" w:afterLines="30" w:line="288" w:lineRule="auto"/>
              <w:jc w:val="both"/>
              <w:rPr>
                <w:rFonts w:eastAsia="宋体"/>
                <w:color w:val="000000"/>
                <w:szCs w:val="20"/>
              </w:rPr>
            </w:pPr>
            <w:r>
              <w:rPr>
                <w:rFonts w:eastAsia="宋体"/>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pPr>
              <w:numPr>
                <w:ilvl w:val="1"/>
                <w:numId w:val="12"/>
              </w:numPr>
              <w:snapToGrid w:val="0"/>
              <w:spacing w:before="72" w:beforeLines="30" w:after="72" w:afterLines="30" w:line="288" w:lineRule="auto"/>
              <w:jc w:val="both"/>
            </w:pPr>
            <w:r>
              <w:t>Option-1 (one-to-one): Only one first PUCCH resource and only one pre-configured resource for second UL channel can be associated with the CSI report configuration for UE-initiated/event-driven beam reporting.</w:t>
            </w:r>
          </w:p>
          <w:p>
            <w:pPr>
              <w:numPr>
                <w:ilvl w:val="2"/>
                <w:numId w:val="12"/>
              </w:numPr>
              <w:snapToGrid w:val="0"/>
              <w:spacing w:before="72" w:beforeLines="30" w:after="72" w:afterLines="30" w:line="288" w:lineRule="auto"/>
              <w:jc w:val="both"/>
            </w:pPr>
            <w:r>
              <w:t>Option-1A: Same periodicity between first PUCCH resource and pre-configured resource for second UL channel.</w:t>
            </w:r>
          </w:p>
          <w:p>
            <w:pPr>
              <w:numPr>
                <w:ilvl w:val="2"/>
                <w:numId w:val="12"/>
              </w:numPr>
              <w:snapToGrid w:val="0"/>
              <w:spacing w:before="72" w:beforeLines="30" w:after="72" w:afterLines="30" w:line="288" w:lineRule="auto"/>
              <w:jc w:val="both"/>
              <w:rPr>
                <w:szCs w:val="20"/>
              </w:rPr>
            </w:pPr>
            <w:r>
              <w:t>Option-1B: No restriction in terms of periodicity.</w:t>
            </w:r>
          </w:p>
          <w:p>
            <w:pPr>
              <w:numPr>
                <w:ilvl w:val="1"/>
                <w:numId w:val="12"/>
              </w:numPr>
              <w:snapToGrid w:val="0"/>
              <w:spacing w:before="72" w:beforeLines="30" w:after="72" w:afterLines="30" w:line="288" w:lineRule="auto"/>
              <w:jc w:val="both"/>
              <w:rPr>
                <w:szCs w:val="20"/>
              </w:rPr>
            </w:pPr>
            <w:r>
              <w:t xml:space="preserve">Option-2 (one-to-M): Only one first PUCCH resource and one or more pre-configured resource(s) for second UL channel can be </w:t>
            </w:r>
            <w:r>
              <w:rPr>
                <w:szCs w:val="20"/>
              </w:rPr>
              <w:t>associated with CSI report configuration for UE-initiated/event-driven beam reporting.</w:t>
            </w:r>
          </w:p>
        </w:tc>
      </w:tr>
    </w:tbl>
    <w:p>
      <w:pPr>
        <w:snapToGrid w:val="0"/>
        <w:spacing w:before="72" w:beforeLines="30" w:after="72" w:afterLines="30" w:line="288" w:lineRule="auto"/>
        <w:jc w:val="both"/>
        <w:rPr>
          <w:rFonts w:eastAsia="宋体"/>
          <w:szCs w:val="20"/>
        </w:rPr>
      </w:pPr>
      <w:r>
        <w:rPr>
          <w:rFonts w:hint="eastAsia" w:eastAsia="宋体"/>
          <w:color w:val="000000"/>
          <w:szCs w:val="20"/>
        </w:rPr>
        <w:t>Regarding the candidate values of X representing a time gap between the first PUCCH and the second UL channel, i</w:t>
      </w:r>
      <w:r>
        <w:rPr>
          <w:rFonts w:hint="eastAsia" w:eastAsia="宋体"/>
          <w:szCs w:val="20"/>
        </w:rPr>
        <w:t>f the Type-1 CG PUSCH configured to carry UEI beam reports cannot carry UL-SCH, the NW may need the time gap to avoid collision between another PUSCH scheduled for data transmission and the Type-1 CG PUSCH. Instead, such time gap can be unnecessary or can be quite small if the Type-1 CG PUSCH can carry both UL-SCH and UEI beam reports.</w:t>
      </w:r>
    </w:p>
    <w:p>
      <w:pPr>
        <w:snapToGrid w:val="0"/>
        <w:spacing w:before="72" w:beforeLines="30" w:after="72" w:afterLines="30" w:line="288" w:lineRule="auto"/>
        <w:jc w:val="both"/>
        <w:rPr>
          <w:rFonts w:eastAsia="宋体"/>
          <w:i/>
          <w:iCs/>
          <w:szCs w:val="20"/>
        </w:rPr>
      </w:pPr>
      <w:r>
        <w:rPr>
          <w:rFonts w:hint="eastAsia" w:eastAsia="宋体"/>
          <w:b/>
          <w:bCs/>
          <w:i/>
          <w:iCs/>
        </w:rPr>
        <w:t>Proposal 13:</w:t>
      </w:r>
      <w:r>
        <w:rPr>
          <w:rFonts w:hint="eastAsia" w:eastAsia="宋体"/>
          <w:i/>
          <w:iCs/>
        </w:rPr>
        <w:t xml:space="preserve"> On beam report transmission procedure for UE-initiated/event-driven beam reporting in Mode-B, regarding the time gap (i.e., X symbols) in case of Type-1 CG PUSCH is configured as the second UL channel, support to explicitly configure the value of </w:t>
      </w:r>
      <w:r>
        <w:rPr>
          <w:rFonts w:hint="eastAsia" w:eastAsia="宋体"/>
          <w:i/>
          <w:iCs/>
          <w:szCs w:val="20"/>
        </w:rPr>
        <w:t>X.</w:t>
      </w:r>
    </w:p>
    <w:p>
      <w:pPr>
        <w:numPr>
          <w:ilvl w:val="0"/>
          <w:numId w:val="12"/>
        </w:numPr>
        <w:snapToGrid w:val="0"/>
        <w:spacing w:before="72" w:beforeLines="30" w:after="72" w:afterLines="30" w:line="288" w:lineRule="auto"/>
        <w:jc w:val="both"/>
        <w:rPr>
          <w:rFonts w:eastAsia="宋体"/>
          <w:i/>
          <w:iCs/>
        </w:rPr>
      </w:pPr>
      <w:r>
        <w:rPr>
          <w:rFonts w:eastAsia="宋体"/>
          <w:i/>
          <w:iCs/>
        </w:rPr>
        <w:t xml:space="preserve">Note: </w:t>
      </w:r>
      <w:r>
        <w:rPr>
          <w:rFonts w:hint="eastAsia" w:eastAsia="宋体"/>
          <w:i/>
          <w:iCs/>
        </w:rPr>
        <w:t>The time gap can be less than a slot.</w:t>
      </w:r>
    </w:p>
    <w:p>
      <w:pPr>
        <w:numPr>
          <w:ilvl w:val="0"/>
          <w:numId w:val="12"/>
        </w:numPr>
        <w:snapToGrid w:val="0"/>
        <w:spacing w:before="72" w:beforeLines="30" w:after="72" w:afterLines="30" w:line="288" w:lineRule="auto"/>
        <w:jc w:val="both"/>
        <w:rPr>
          <w:rFonts w:eastAsia="宋体"/>
          <w:i/>
          <w:iCs/>
        </w:rPr>
      </w:pPr>
      <w:r>
        <w:rPr>
          <w:rFonts w:hint="eastAsia" w:eastAsia="宋体"/>
          <w:i/>
          <w:iCs/>
        </w:rPr>
        <w:t>FFS: The candidate values of X.</w:t>
      </w:r>
    </w:p>
    <w:p>
      <w:pPr>
        <w:snapToGrid w:val="0"/>
        <w:spacing w:before="72" w:beforeLines="30" w:after="72" w:afterLines="30" w:line="288" w:lineRule="auto"/>
        <w:jc w:val="both"/>
        <w:rPr>
          <w:rFonts w:eastAsia="宋体"/>
        </w:rPr>
      </w:pPr>
      <w:r>
        <w:rPr>
          <w:rFonts w:hint="eastAsia" w:eastAsia="宋体"/>
        </w:rPr>
        <w:t xml:space="preserve">In an example as shown in Figure 6 for </w:t>
      </w:r>
      <w:r>
        <w:rPr>
          <w:rFonts w:hint="eastAsia" w:eastAsia="宋体"/>
          <w:color w:val="000000"/>
          <w:szCs w:val="20"/>
        </w:rPr>
        <w:t xml:space="preserve">transmission occasion </w:t>
      </w:r>
      <w:r>
        <w:rPr>
          <w:rFonts w:eastAsia="宋体"/>
          <w:color w:val="000000"/>
          <w:szCs w:val="20"/>
        </w:rPr>
        <w:t>mapping</w:t>
      </w:r>
      <w:r>
        <w:rPr>
          <w:rFonts w:hint="eastAsia" w:eastAsia="宋体"/>
          <w:color w:val="000000"/>
          <w:szCs w:val="20"/>
        </w:rPr>
        <w:t xml:space="preserve"> </w:t>
      </w:r>
      <w:r>
        <w:rPr>
          <w:rFonts w:eastAsia="宋体"/>
          <w:color w:val="000000"/>
          <w:szCs w:val="20"/>
        </w:rPr>
        <w:t>between first and second channel in Mode-B</w:t>
      </w:r>
      <w:r>
        <w:rPr>
          <w:rFonts w:hint="eastAsia" w:eastAsia="宋体"/>
        </w:rPr>
        <w:t>, upon the triggering of a UEIBR, the UE transmits a first PUCCH and a second UL channel on the corresponding valid transmission occasions.</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3759200" cy="2186940"/>
            <wp:effectExtent l="0" t="0" r="0" b="3810"/>
            <wp:docPr id="1" name="图片 1" descr="channel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hannelperiod"/>
                    <pic:cNvPicPr>
                      <a:picLocks noChangeAspect="1"/>
                    </pic:cNvPicPr>
                  </pic:nvPicPr>
                  <pic:blipFill>
                    <a:blip r:embed="rId14"/>
                    <a:stretch>
                      <a:fillRect/>
                    </a:stretch>
                  </pic:blipFill>
                  <pic:spPr>
                    <a:xfrm>
                      <a:off x="0" y="0"/>
                      <a:ext cx="3759200" cy="2186940"/>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6</w:t>
      </w:r>
      <w:r>
        <w:rPr>
          <w:rFonts w:hint="eastAsia" w:eastAsia="宋体"/>
        </w:rPr>
        <w:t xml:space="preserve"> UL channel transmission occasions in Mode-B</w:t>
      </w:r>
    </w:p>
    <w:p>
      <w:pPr>
        <w:pStyle w:val="111"/>
        <w:widowControl w:val="0"/>
        <w:numPr>
          <w:ilvl w:val="1"/>
          <w:numId w:val="28"/>
        </w:numPr>
        <w:spacing w:before="72" w:beforeLines="30" w:after="72" w:afterLines="30" w:line="288" w:lineRule="auto"/>
        <w:ind w:firstLineChars="0"/>
        <w:jc w:val="both"/>
        <w:rPr>
          <w:rFonts w:eastAsia="宋体"/>
        </w:rPr>
      </w:pPr>
      <w:r>
        <w:rPr>
          <w:rFonts w:hint="eastAsia" w:eastAsia="宋体"/>
        </w:rPr>
        <w:t>If the first TO for the first PUCCH is invalid due to being dropped or conflicting with DL symbols, the UE transmits the first PUCCH in the next valid TO (e.g., the 2</w:t>
      </w:r>
      <w:r>
        <w:rPr>
          <w:rFonts w:hint="eastAsia" w:eastAsia="宋体"/>
          <w:vertAlign w:val="superscript"/>
        </w:rPr>
        <w:t>nd</w:t>
      </w:r>
      <w:r>
        <w:rPr>
          <w:rFonts w:hint="eastAsia" w:eastAsia="宋体"/>
        </w:rPr>
        <w:t xml:space="preserve"> TO).  </w:t>
      </w:r>
    </w:p>
    <w:p>
      <w:pPr>
        <w:pStyle w:val="111"/>
        <w:widowControl w:val="0"/>
        <w:numPr>
          <w:ilvl w:val="2"/>
          <w:numId w:val="28"/>
        </w:numPr>
        <w:spacing w:before="72" w:beforeLines="30" w:after="72" w:afterLines="30" w:line="288" w:lineRule="auto"/>
        <w:ind w:firstLineChars="0"/>
        <w:jc w:val="both"/>
        <w:rPr>
          <w:rFonts w:eastAsia="宋体"/>
        </w:rPr>
      </w:pPr>
      <w:r>
        <w:rPr>
          <w:rFonts w:hint="eastAsia" w:eastAsia="宋体"/>
        </w:rPr>
        <w:t>After transmission of the first PUCCH, UE transmits UEIBR in a valid TO for the second UL channel.</w:t>
      </w:r>
    </w:p>
    <w:p>
      <w:pPr>
        <w:numPr>
          <w:ilvl w:val="3"/>
          <w:numId w:val="28"/>
        </w:numPr>
        <w:snapToGrid w:val="0"/>
        <w:spacing w:before="72" w:beforeLines="30" w:after="72" w:afterLines="30" w:line="288" w:lineRule="auto"/>
        <w:ind w:left="1580" w:leftChars="0" w:hanging="400" w:firstLineChars="0"/>
        <w:jc w:val="both"/>
        <w:rPr>
          <w:rFonts w:eastAsia="宋体"/>
        </w:rPr>
      </w:pPr>
      <w:r>
        <w:rPr>
          <w:rFonts w:hint="eastAsia" w:eastAsia="宋体"/>
        </w:rPr>
        <w:t>Case-a: Same periodicity between the first PUCCH and the second UL channel is applied</w:t>
      </w:r>
    </w:p>
    <w:p>
      <w:pPr>
        <w:numPr>
          <w:ilvl w:val="4"/>
          <w:numId w:val="28"/>
        </w:numPr>
        <w:snapToGrid w:val="0"/>
        <w:spacing w:before="72" w:beforeLines="30" w:after="72" w:afterLines="30" w:line="288" w:lineRule="auto"/>
        <w:ind w:left="1980" w:leftChars="0" w:hanging="400" w:firstLineChars="0"/>
        <w:jc w:val="both"/>
        <w:rPr>
          <w:rFonts w:eastAsia="宋体"/>
        </w:rPr>
      </w:pPr>
      <w:r>
        <w:rPr>
          <w:rFonts w:hint="eastAsia" w:eastAsia="宋体"/>
        </w:rPr>
        <w:t>In such case, when the 2</w:t>
      </w:r>
      <w:r>
        <w:rPr>
          <w:rFonts w:hint="eastAsia" w:eastAsia="宋体"/>
          <w:vertAlign w:val="superscript"/>
        </w:rPr>
        <w:t>nd</w:t>
      </w:r>
      <w:r>
        <w:rPr>
          <w:rFonts w:hint="eastAsia" w:eastAsia="宋体"/>
        </w:rPr>
        <w:t xml:space="preserve"> TO of the second UL channel is invalid due to collision handling or TDD configuration, UE can transmit the UEIBR on the 3</w:t>
      </w:r>
      <w:r>
        <w:rPr>
          <w:rFonts w:hint="eastAsia" w:eastAsia="宋体"/>
          <w:vertAlign w:val="superscript"/>
        </w:rPr>
        <w:t>rd</w:t>
      </w:r>
      <w:r>
        <w:rPr>
          <w:rFonts w:hint="eastAsia" w:eastAsia="宋体"/>
        </w:rPr>
        <w:t xml:space="preserve"> TO.</w:t>
      </w:r>
    </w:p>
    <w:p>
      <w:pPr>
        <w:numPr>
          <w:ilvl w:val="3"/>
          <w:numId w:val="28"/>
        </w:numPr>
        <w:snapToGrid w:val="0"/>
        <w:spacing w:before="72" w:beforeLines="30" w:after="72" w:afterLines="30" w:line="288" w:lineRule="auto"/>
        <w:ind w:left="1580" w:leftChars="0" w:hanging="400" w:firstLineChars="0"/>
        <w:jc w:val="both"/>
        <w:rPr>
          <w:rFonts w:eastAsia="宋体"/>
        </w:rPr>
      </w:pPr>
      <w:r>
        <w:rPr>
          <w:rFonts w:hint="eastAsia" w:eastAsia="宋体"/>
        </w:rPr>
        <w:t xml:space="preserve">Case-b: </w:t>
      </w:r>
      <w:r>
        <w:rPr>
          <w:rFonts w:eastAsia="宋体"/>
        </w:rPr>
        <w:t>Larger periodicity of the first PUCCH</w:t>
      </w:r>
      <w:r>
        <w:rPr>
          <w:rFonts w:hint="eastAsia" w:eastAsia="宋体"/>
        </w:rPr>
        <w:t xml:space="preserve"> over the second UL channel is applied</w:t>
      </w:r>
    </w:p>
    <w:p>
      <w:pPr>
        <w:numPr>
          <w:ilvl w:val="4"/>
          <w:numId w:val="28"/>
        </w:numPr>
        <w:snapToGrid w:val="0"/>
        <w:spacing w:before="72" w:beforeLines="30" w:after="72" w:afterLines="30" w:line="288" w:lineRule="auto"/>
        <w:ind w:left="1980" w:leftChars="0" w:hanging="400" w:firstLineChars="0"/>
        <w:jc w:val="both"/>
        <w:rPr>
          <w:rFonts w:eastAsia="宋体"/>
        </w:rPr>
      </w:pPr>
      <w:r>
        <w:rPr>
          <w:rFonts w:hint="eastAsia" w:eastAsia="宋体"/>
        </w:rPr>
        <w:t>More transmission occasions for the second UL channel can be used by the UE, thereby the report latency of UEIBR can be reduced in some cases.</w:t>
      </w:r>
    </w:p>
    <w:p>
      <w:pPr>
        <w:numPr>
          <w:ilvl w:val="3"/>
          <w:numId w:val="28"/>
        </w:numPr>
        <w:snapToGrid w:val="0"/>
        <w:spacing w:before="72" w:beforeLines="30" w:after="72" w:afterLines="30" w:line="288" w:lineRule="auto"/>
        <w:ind w:left="1580" w:leftChars="0" w:hanging="400" w:firstLineChars="0"/>
        <w:jc w:val="both"/>
        <w:rPr>
          <w:rFonts w:eastAsia="宋体"/>
        </w:rPr>
      </w:pPr>
      <w:r>
        <w:rPr>
          <w:rFonts w:hint="eastAsia" w:eastAsia="宋体"/>
        </w:rPr>
        <w:t xml:space="preserve">Case-c: </w:t>
      </w:r>
      <w:r>
        <w:rPr>
          <w:rFonts w:eastAsia="宋体"/>
        </w:rPr>
        <w:t>Larger periodicity of the second UL channel</w:t>
      </w:r>
      <w:r>
        <w:rPr>
          <w:rFonts w:hint="eastAsia" w:eastAsia="宋体"/>
        </w:rPr>
        <w:t xml:space="preserve"> over the first PUCCH is applied</w:t>
      </w:r>
    </w:p>
    <w:p>
      <w:pPr>
        <w:numPr>
          <w:ilvl w:val="4"/>
          <w:numId w:val="28"/>
        </w:numPr>
        <w:snapToGrid w:val="0"/>
        <w:spacing w:before="72" w:beforeLines="30" w:after="72" w:afterLines="30" w:line="288" w:lineRule="auto"/>
        <w:ind w:left="1980" w:leftChars="0" w:hanging="400" w:firstLineChars="0"/>
        <w:jc w:val="both"/>
        <w:rPr>
          <w:rFonts w:eastAsia="宋体"/>
        </w:rPr>
      </w:pPr>
      <w:r>
        <w:rPr>
          <w:rFonts w:hint="eastAsia" w:eastAsia="宋体"/>
        </w:rPr>
        <w:t>Case-c can be applied in scenarios where UL traffic is heavy or UL resource is insufficient.</w:t>
      </w:r>
    </w:p>
    <w:p>
      <w:pPr>
        <w:numPr>
          <w:ilvl w:val="2"/>
          <w:numId w:val="28"/>
        </w:numPr>
        <w:snapToGrid w:val="0"/>
        <w:spacing w:before="72" w:beforeLines="30" w:after="72" w:afterLines="30" w:line="288" w:lineRule="auto"/>
        <w:ind w:left="1180" w:leftChars="0" w:hanging="400" w:firstLineChars="0"/>
        <w:jc w:val="both"/>
        <w:rPr>
          <w:rFonts w:eastAsia="宋体"/>
        </w:rPr>
      </w:pPr>
      <w:r>
        <w:rPr>
          <w:rFonts w:hint="eastAsia" w:eastAsia="宋体"/>
        </w:rPr>
        <w:t>Overall, the flexibility of individually configuring the periodicity of the first PUCCH and the second UL channel should be supported.</w:t>
      </w:r>
    </w:p>
    <w:p>
      <w:pPr>
        <w:numPr>
          <w:ilvl w:val="1"/>
          <w:numId w:val="28"/>
        </w:numPr>
        <w:snapToGrid w:val="0"/>
        <w:spacing w:before="72" w:beforeLines="30" w:after="72" w:afterLines="30" w:line="288" w:lineRule="auto"/>
        <w:jc w:val="both"/>
        <w:rPr>
          <w:rFonts w:eastAsia="宋体"/>
        </w:rPr>
      </w:pPr>
      <w:r>
        <w:rPr>
          <w:rFonts w:hint="eastAsia" w:eastAsia="宋体"/>
        </w:rPr>
        <w:t xml:space="preserve">Regarding the </w:t>
      </w:r>
      <w:r>
        <w:rPr>
          <w:rFonts w:eastAsia="宋体"/>
          <w:color w:val="000000"/>
          <w:szCs w:val="20"/>
        </w:rPr>
        <w:t>resource mapping</w:t>
      </w:r>
      <w:r>
        <w:rPr>
          <w:rFonts w:hint="eastAsia" w:eastAsia="宋体"/>
          <w:color w:val="000000"/>
          <w:szCs w:val="20"/>
        </w:rPr>
        <w:t xml:space="preserve"> </w:t>
      </w:r>
      <w:r>
        <w:rPr>
          <w:rFonts w:eastAsia="宋体"/>
          <w:color w:val="000000"/>
          <w:szCs w:val="20"/>
        </w:rPr>
        <w:t>between first and second channel in Mode-B</w:t>
      </w:r>
      <w:r>
        <w:rPr>
          <w:rFonts w:hint="eastAsia" w:eastAsia="宋体"/>
          <w:color w:val="000000"/>
          <w:szCs w:val="20"/>
        </w:rPr>
        <w:t xml:space="preserve">, </w:t>
      </w:r>
      <w:r>
        <w:t>Option-</w:t>
      </w:r>
      <w:r>
        <w:rPr>
          <w:rFonts w:hint="eastAsia" w:eastAsia="宋体"/>
        </w:rPr>
        <w:t>2</w:t>
      </w:r>
      <w:r>
        <w:t xml:space="preserve"> (one-to-</w:t>
      </w:r>
      <w:r>
        <w:rPr>
          <w:rFonts w:hint="eastAsia" w:eastAsia="宋体"/>
        </w:rPr>
        <w:t>M</w:t>
      </w:r>
      <w:r>
        <w:t>)</w:t>
      </w:r>
      <w:r>
        <w:rPr>
          <w:rFonts w:hint="eastAsia" w:eastAsia="宋体"/>
        </w:rPr>
        <w:t xml:space="preserve"> is unnecessary.</w:t>
      </w:r>
    </w:p>
    <w:p>
      <w:pPr>
        <w:numPr>
          <w:ilvl w:val="2"/>
          <w:numId w:val="28"/>
        </w:numPr>
        <w:snapToGrid w:val="0"/>
        <w:spacing w:before="72" w:beforeLines="30" w:after="72" w:afterLines="30" w:line="288" w:lineRule="auto"/>
        <w:jc w:val="both"/>
        <w:rPr>
          <w:rFonts w:eastAsia="宋体"/>
        </w:rPr>
      </w:pPr>
      <w:r>
        <w:rPr>
          <w:rFonts w:hint="eastAsia" w:eastAsia="宋体"/>
        </w:rPr>
        <w:t>The application scenario of configuring multiple second UL channel resources for a given CSI report configuration is ambiguous.</w:t>
      </w:r>
    </w:p>
    <w:p>
      <w:pPr>
        <w:numPr>
          <w:ilvl w:val="2"/>
          <w:numId w:val="28"/>
        </w:numPr>
        <w:snapToGrid w:val="0"/>
        <w:spacing w:before="72" w:beforeLines="30" w:after="72" w:afterLines="30" w:line="288" w:lineRule="auto"/>
        <w:jc w:val="both"/>
        <w:rPr>
          <w:rFonts w:eastAsia="宋体"/>
        </w:rPr>
      </w:pPr>
      <w:r>
        <w:rPr>
          <w:rFonts w:hint="eastAsia" w:eastAsia="宋体"/>
        </w:rPr>
        <w:t>If the second UL channel is dedicated to UEIBR and cannot carry UL-SCH and other UCI, configuring multiple Type-1 CG PUSCH resources leads to significant resource waste.</w:t>
      </w:r>
    </w:p>
    <w:p>
      <w:pPr>
        <w:numPr>
          <w:ilvl w:val="2"/>
          <w:numId w:val="28"/>
        </w:numPr>
        <w:snapToGrid w:val="0"/>
        <w:spacing w:before="72" w:beforeLines="30" w:after="72" w:afterLines="30" w:line="288" w:lineRule="auto"/>
        <w:jc w:val="both"/>
        <w:rPr>
          <w:rFonts w:eastAsia="宋体"/>
        </w:rPr>
      </w:pPr>
      <w:r>
        <w:rPr>
          <w:rFonts w:hint="eastAsia" w:eastAsia="宋体"/>
        </w:rPr>
        <w:t>If the second UL channel can carry UL-SCH and multiplex other UCI, since the REs not used for UEIBR transmission can be used for UL-SCH, the resource efficiency issue does not exist even if the capacity of Type-1 CG PUSCH exceeds the UEIBR payload. Consequently, the necessity of configuring multiple Type-1 CG PUSCH resources for different UEIBR payload size is eliminated.</w:t>
      </w:r>
    </w:p>
    <w:p>
      <w:pPr>
        <w:snapToGrid w:val="0"/>
        <w:spacing w:before="72" w:beforeLines="30" w:after="72" w:afterLines="30" w:line="288" w:lineRule="auto"/>
        <w:jc w:val="both"/>
        <w:rPr>
          <w:rFonts w:eastAsia="宋体"/>
          <w:i/>
          <w:iCs/>
        </w:rPr>
      </w:pPr>
      <w:r>
        <w:rPr>
          <w:rFonts w:hint="eastAsia" w:eastAsia="宋体"/>
          <w:b/>
          <w:bCs/>
          <w:i/>
          <w:iCs/>
        </w:rPr>
        <w:t>Proposal 14:</w:t>
      </w:r>
      <w:r>
        <w:rPr>
          <w:rFonts w:hint="eastAsia" w:eastAsia="宋体"/>
          <w:i/>
          <w:iCs/>
        </w:rPr>
        <w:t xml:space="preserve"> On beam report transmission procedure for UE-initiated/event-driven beam reporting, regarding resource mapping/configuration between first and second channel in Mode-B, for a given CSI report configuration, support Option 1-B.</w:t>
      </w:r>
    </w:p>
    <w:p>
      <w:pPr>
        <w:numPr>
          <w:ilvl w:val="0"/>
          <w:numId w:val="12"/>
        </w:numPr>
        <w:snapToGrid w:val="0"/>
        <w:spacing w:before="72" w:beforeLines="30" w:after="72" w:afterLines="30" w:line="288" w:lineRule="auto"/>
        <w:jc w:val="both"/>
        <w:rPr>
          <w:rFonts w:eastAsia="宋体"/>
          <w:i/>
          <w:iCs/>
        </w:rPr>
      </w:pPr>
      <w:r>
        <w:rPr>
          <w:rFonts w:hint="eastAsia" w:eastAsia="宋体"/>
          <w:i/>
          <w:iCs/>
        </w:rPr>
        <w:t>Option-1 (one-to-one): Only one first PUCCH resource and only one pre-configured resource for second UL channel can be associated with the CSI report configuration for UE-initiated/event-driven beam reporting.</w:t>
      </w:r>
    </w:p>
    <w:p>
      <w:pPr>
        <w:numPr>
          <w:ilvl w:val="1"/>
          <w:numId w:val="12"/>
        </w:numPr>
        <w:snapToGrid w:val="0"/>
        <w:spacing w:before="72" w:beforeLines="30" w:after="72" w:afterLines="30" w:line="288" w:lineRule="auto"/>
        <w:jc w:val="both"/>
        <w:rPr>
          <w:rFonts w:eastAsia="宋体"/>
          <w:i/>
          <w:iCs/>
        </w:rPr>
      </w:pPr>
      <w:r>
        <w:rPr>
          <w:rFonts w:hint="eastAsia" w:eastAsia="宋体"/>
          <w:i/>
          <w:iCs/>
        </w:rPr>
        <w:t>Option-1B: No restriction in terms of periodicity.</w:t>
      </w:r>
    </w:p>
    <w:p>
      <w:pPr>
        <w:numPr>
          <w:ilvl w:val="1"/>
          <w:numId w:val="7"/>
        </w:numPr>
        <w:tabs>
          <w:tab w:val="clear" w:pos="576"/>
        </w:tabs>
        <w:snapToGrid w:val="0"/>
        <w:spacing w:before="240" w:beforeLines="100" w:after="120" w:afterLines="50" w:line="288" w:lineRule="auto"/>
        <w:ind w:left="0" w:firstLine="0"/>
        <w:jc w:val="both"/>
        <w:outlineLvl w:val="1"/>
        <w:rPr>
          <w:rFonts w:eastAsia="宋体"/>
          <w:i/>
          <w:iCs/>
        </w:rPr>
      </w:pPr>
      <w:r>
        <w:rPr>
          <w:rFonts w:hint="eastAsia" w:eastAsia="宋体"/>
          <w:b/>
          <w:bCs/>
          <w:sz w:val="24"/>
          <w:szCs w:val="24"/>
        </w:rPr>
        <w:t>Other left-over issues</w:t>
      </w:r>
    </w:p>
    <w:p>
      <w:pPr>
        <w:numPr>
          <w:ilvl w:val="0"/>
          <w:numId w:val="0"/>
        </w:numPr>
        <w:snapToGrid w:val="0"/>
        <w:spacing w:before="72" w:beforeLines="30" w:after="72" w:afterLines="30" w:line="288" w:lineRule="auto"/>
        <w:ind w:left="0" w:firstLine="0"/>
        <w:jc w:val="both"/>
        <w:rPr>
          <w:rFonts w:eastAsia="宋体"/>
          <w:b/>
          <w:bCs/>
          <w:u w:val="single"/>
        </w:rPr>
      </w:pPr>
      <w:r>
        <w:rPr>
          <w:rFonts w:hint="eastAsia" w:eastAsia="宋体"/>
          <w:b/>
          <w:bCs/>
          <w:u w:val="single"/>
        </w:rPr>
        <w:t>Configuration of Mode-A and Mode-B</w:t>
      </w:r>
    </w:p>
    <w:p>
      <w:pPr>
        <w:pStyle w:val="111"/>
        <w:snapToGrid w:val="0"/>
        <w:spacing w:before="72" w:beforeLines="30" w:after="72" w:afterLines="30" w:line="288" w:lineRule="auto"/>
        <w:ind w:firstLine="0" w:firstLineChars="0"/>
        <w:jc w:val="both"/>
        <w:rPr>
          <w:rFonts w:eastAsia="宋体"/>
        </w:rPr>
      </w:pPr>
      <w:r>
        <w:rPr>
          <w:rFonts w:hint="eastAsia" w:eastAsia="宋体"/>
        </w:rPr>
        <w:t>Till now, it remains uncertain whether a unified design for the first PUCCH in Mode A and B can be supported. Supporting both modes regarding beam report transmission procedure on a UE simultaneously may introduce additional complexity. Meanwhile, the benefits of supporting simultaneous configuration of both modes are not identified so far. Therefore, simultaneous configuration of Mode-A and Mode-B should be precluded.</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15:</w:t>
      </w:r>
      <w:r>
        <w:rPr>
          <w:rFonts w:hint="eastAsia" w:eastAsia="宋体"/>
          <w:i/>
          <w:iCs/>
        </w:rPr>
        <w:t xml:space="preserve"> On beam report transmission procedure for UE-initiated/event-driven beam reporting, </w:t>
      </w:r>
      <w:r>
        <w:rPr>
          <w:rFonts w:eastAsia="宋体"/>
          <w:i/>
          <w:iCs/>
        </w:rPr>
        <w:t>the RRC parameter of enabling mode-A or mode-B is configured in CSI report configuration.</w:t>
      </w:r>
    </w:p>
    <w:p>
      <w:pPr>
        <w:pStyle w:val="111"/>
        <w:numPr>
          <w:ilvl w:val="0"/>
          <w:numId w:val="12"/>
        </w:numPr>
        <w:snapToGrid w:val="0"/>
        <w:spacing w:before="72" w:beforeLines="30" w:after="72" w:afterLines="30" w:line="288" w:lineRule="auto"/>
        <w:ind w:firstLineChars="0"/>
        <w:jc w:val="both"/>
        <w:rPr>
          <w:rFonts w:eastAsia="宋体"/>
          <w:i/>
          <w:iCs/>
        </w:rPr>
      </w:pPr>
      <w:r>
        <w:rPr>
          <w:rFonts w:eastAsia="宋体"/>
          <w:bCs/>
          <w:i/>
          <w:iCs/>
        </w:rPr>
        <w:t>Note: F</w:t>
      </w:r>
      <w:r>
        <w:rPr>
          <w:rFonts w:eastAsia="宋体"/>
          <w:i/>
          <w:iCs/>
        </w:rPr>
        <w:t>or a given UE, only one mode out of</w:t>
      </w:r>
      <w:r>
        <w:rPr>
          <w:rFonts w:hint="eastAsia" w:eastAsia="宋体"/>
          <w:i/>
          <w:iCs/>
        </w:rPr>
        <w:t xml:space="preserve"> mode-A or mode-B </w:t>
      </w:r>
      <w:r>
        <w:rPr>
          <w:rFonts w:eastAsia="宋体"/>
          <w:i/>
          <w:iCs/>
        </w:rPr>
        <w:t xml:space="preserve">can be enabled </w:t>
      </w:r>
      <w:r>
        <w:rPr>
          <w:rFonts w:hint="eastAsia" w:eastAsia="宋体"/>
          <w:i/>
          <w:iCs/>
        </w:rPr>
        <w:t>at the same time.</w:t>
      </w:r>
    </w:p>
    <w:p>
      <w:pPr>
        <w:numPr>
          <w:ilvl w:val="0"/>
          <w:numId w:val="0"/>
        </w:numPr>
        <w:snapToGrid w:val="0"/>
        <w:spacing w:before="72" w:beforeLines="30" w:after="72" w:afterLines="30" w:line="288" w:lineRule="auto"/>
        <w:ind w:left="0" w:firstLine="0"/>
        <w:jc w:val="both"/>
        <w:rPr>
          <w:rFonts w:eastAsia="宋体"/>
          <w:bCs/>
        </w:rPr>
      </w:pPr>
      <w:r>
        <w:rPr>
          <w:rFonts w:hint="eastAsia" w:eastAsia="宋体"/>
          <w:b/>
          <w:bCs/>
          <w:u w:val="single"/>
        </w:rPr>
        <w:t>Resetting mechanism of time window and counter in triggering event determination</w:t>
      </w:r>
    </w:p>
    <w:p>
      <w:pPr>
        <w:pStyle w:val="111"/>
        <w:widowControl w:val="0"/>
        <w:spacing w:before="72" w:beforeLines="30" w:after="72" w:afterLines="30" w:line="288" w:lineRule="auto"/>
        <w:ind w:firstLine="0" w:firstLineChars="0"/>
        <w:jc w:val="both"/>
        <w:rPr>
          <w:rFonts w:eastAsia="宋体"/>
          <w:bCs/>
        </w:rPr>
      </w:pPr>
      <w:r>
        <w:rPr>
          <w:rFonts w:hint="eastAsia" w:eastAsia="宋体"/>
          <w:bCs/>
        </w:rPr>
        <w:t>In the counter-based beam report triggering procedure, the counter can be incremented continuously if the trigger event condition can be satisfied over a period of time, enabling the continuous triggering of UE initiated beam reports. Generally, the UE should transmit at least one UEIBR upon each triggering instance (e.g., each time the counter being larger than equal to the maximum number). The critical issue lies on how to stop or reset the time window and counter of a given UEIBR. The following options can be considered.</w:t>
      </w:r>
    </w:p>
    <w:p>
      <w:pPr>
        <w:pStyle w:val="111"/>
        <w:widowControl w:val="0"/>
        <w:numPr>
          <w:ilvl w:val="1"/>
          <w:numId w:val="29"/>
        </w:numPr>
        <w:spacing w:before="72" w:beforeLines="30" w:after="72" w:afterLines="30" w:line="288" w:lineRule="auto"/>
        <w:ind w:firstLineChars="0"/>
        <w:jc w:val="both"/>
        <w:rPr>
          <w:rFonts w:eastAsia="宋体"/>
        </w:rPr>
      </w:pPr>
      <w:r>
        <w:rPr>
          <w:rFonts w:hint="eastAsia" w:eastAsia="宋体"/>
        </w:rPr>
        <w:t>Option-1: One-shot transmission</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In this option, the UE resets the procedure of UE initiated/event-driven beam report (e.g., by setting the counter to 0) once transmitting the UEIBR in response to the previous report occurrence.</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 xml:space="preserve">In such case, we have to suffer lower reliability as the UEIBR transmission may be unsuccessfully received. Meanwhile, it leads to larger report latency since UE has to transmit the beam report upon the next report triggering after a new round of counting. </w:t>
      </w:r>
    </w:p>
    <w:p>
      <w:pPr>
        <w:pStyle w:val="111"/>
        <w:widowControl w:val="0"/>
        <w:numPr>
          <w:ilvl w:val="1"/>
          <w:numId w:val="29"/>
        </w:numPr>
        <w:spacing w:before="72" w:beforeLines="30" w:after="72" w:afterLines="30" w:line="288" w:lineRule="auto"/>
        <w:ind w:firstLineChars="0"/>
        <w:jc w:val="both"/>
        <w:rPr>
          <w:rFonts w:eastAsia="宋体"/>
        </w:rPr>
      </w:pPr>
      <w:r>
        <w:rPr>
          <w:rFonts w:hint="eastAsia" w:eastAsia="宋体"/>
        </w:rPr>
        <w:t>Option-2: Multiple transmissions without NW response</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 xml:space="preserve">The UE </w:t>
      </w:r>
      <w:r>
        <w:rPr>
          <w:rFonts w:eastAsia="宋体"/>
        </w:rPr>
        <w:t>resets the procedure of UE initiated/event-driven beam report</w:t>
      </w:r>
      <w:r>
        <w:rPr>
          <w:rFonts w:hint="eastAsia" w:eastAsia="宋体"/>
        </w:rPr>
        <w:t xml:space="preserve"> after transmitting the UEIBR a configured number of times. This may result in redundant UEIBR transmissions if some previous UEIBR transmissions have already been successfully received by the network.</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 xml:space="preserve">Nevertheless, since the reporting is based on non-filtered measurement values, the multiple beam reports can provide comprehensive information about beam quality over an extended period, benefiting the beam management. </w:t>
      </w:r>
    </w:p>
    <w:p>
      <w:pPr>
        <w:pStyle w:val="111"/>
        <w:widowControl w:val="0"/>
        <w:numPr>
          <w:ilvl w:val="1"/>
          <w:numId w:val="29"/>
        </w:numPr>
        <w:spacing w:before="72" w:beforeLines="30" w:after="72" w:afterLines="30" w:line="288" w:lineRule="auto"/>
        <w:ind w:firstLineChars="0"/>
        <w:jc w:val="both"/>
        <w:rPr>
          <w:rFonts w:eastAsia="宋体"/>
        </w:rPr>
      </w:pPr>
      <w:r>
        <w:rPr>
          <w:rFonts w:hint="eastAsia" w:eastAsia="宋体"/>
        </w:rPr>
        <w:t>Option-3: Multiple transmissions with NW response</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In the legacy BFR triggering procedure, when the UE receives a PDCCH addressed to C-RNTI indicating uplink grant for a new transmission for the HARQ process used for the transmission of the MAC CE for BFR which contains beam failure recovery information, the BFI_COUNTER is set to 0.</w:t>
      </w:r>
    </w:p>
    <w:p>
      <w:pPr>
        <w:pStyle w:val="111"/>
        <w:widowControl w:val="0"/>
        <w:numPr>
          <w:ilvl w:val="2"/>
          <w:numId w:val="29"/>
        </w:numPr>
        <w:spacing w:before="72" w:beforeLines="30" w:after="72" w:afterLines="30" w:line="288" w:lineRule="auto"/>
        <w:ind w:firstLineChars="0"/>
        <w:jc w:val="both"/>
        <w:rPr>
          <w:rFonts w:eastAsia="宋体"/>
        </w:rPr>
      </w:pPr>
      <w:r>
        <w:rPr>
          <w:rFonts w:hint="eastAsia" w:eastAsia="宋体"/>
        </w:rPr>
        <w:t>Likewise, a NW response to indicate the UE to reset the procedure of UEIBR should be introduced.</w:t>
      </w:r>
    </w:p>
    <w:p>
      <w:pPr>
        <w:pStyle w:val="111"/>
        <w:widowControl w:val="0"/>
        <w:spacing w:before="72" w:beforeLines="30" w:after="72" w:afterLines="30" w:line="288" w:lineRule="auto"/>
        <w:ind w:firstLine="0" w:firstLineChars="0"/>
        <w:jc w:val="both"/>
        <w:rPr>
          <w:rFonts w:eastAsia="宋体"/>
        </w:rPr>
      </w:pPr>
      <w:r>
        <w:rPr>
          <w:rFonts w:hint="eastAsia" w:eastAsia="宋体"/>
        </w:rPr>
        <w:t xml:space="preserve">Furthermore, by referring to the legacy BFR procedure, in response to reconfiguration of a CSI report setting for UEIBR or change of reference signals for evaluation (e.g., current beam change by indicated TCI state update or activated TCI state update), the counter/timer associated with the corresponding UEIBR should be reset. </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16:</w:t>
      </w:r>
      <w:r>
        <w:rPr>
          <w:rFonts w:hint="eastAsia" w:eastAsia="宋体"/>
          <w:i/>
          <w:iCs/>
        </w:rPr>
        <w:t xml:space="preserve"> Regarding UE initiated beam report triggering procedure based on counting the trigger event instance, consider the following alternatives to reset the time window/counter for the beam report triggering.</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Alt-1: UE </w:t>
      </w:r>
      <w:r>
        <w:rPr>
          <w:rFonts w:hint="eastAsia" w:eastAsia="宋体"/>
          <w:i/>
          <w:iCs/>
        </w:rPr>
        <w:t>resets the time window/counter</w:t>
      </w:r>
      <w:r>
        <w:rPr>
          <w:rFonts w:hint="eastAsia" w:eastAsia="宋体"/>
          <w:i/>
        </w:rPr>
        <w:t xml:space="preserve"> after the UEI beam report is transmitted X times.</w:t>
      </w:r>
    </w:p>
    <w:p>
      <w:pPr>
        <w:numPr>
          <w:ilvl w:val="1"/>
          <w:numId w:val="12"/>
        </w:numPr>
        <w:snapToGrid w:val="0"/>
        <w:spacing w:before="72" w:beforeLines="30" w:after="72" w:afterLines="30" w:line="288" w:lineRule="auto"/>
        <w:jc w:val="both"/>
        <w:rPr>
          <w:rFonts w:eastAsia="宋体"/>
          <w:i/>
        </w:rPr>
      </w:pPr>
      <w:r>
        <w:rPr>
          <w:rFonts w:hint="eastAsia" w:eastAsia="宋体"/>
          <w:i/>
        </w:rPr>
        <w:t>FFS: X is fixed to be 1 or can be configured.</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Alt-2: UE </w:t>
      </w:r>
      <w:r>
        <w:rPr>
          <w:rFonts w:hint="eastAsia" w:eastAsia="宋体"/>
          <w:i/>
          <w:iCs/>
        </w:rPr>
        <w:t xml:space="preserve">resets the time window/counter </w:t>
      </w:r>
      <w:r>
        <w:rPr>
          <w:rFonts w:hint="eastAsia" w:eastAsia="宋体"/>
          <w:i/>
        </w:rPr>
        <w:t>after a NW response is received.</w:t>
      </w:r>
    </w:p>
    <w:p>
      <w:pPr>
        <w:numPr>
          <w:ilvl w:val="1"/>
          <w:numId w:val="12"/>
        </w:numPr>
        <w:snapToGrid w:val="0"/>
        <w:spacing w:before="72" w:beforeLines="30" w:after="72" w:afterLines="30" w:line="288" w:lineRule="auto"/>
        <w:jc w:val="both"/>
        <w:rPr>
          <w:rFonts w:eastAsia="宋体"/>
          <w:i/>
        </w:rPr>
      </w:pPr>
      <w:r>
        <w:rPr>
          <w:rFonts w:hint="eastAsia" w:eastAsia="宋体"/>
          <w:i/>
        </w:rPr>
        <w:t>FFS: The detailed signaling of the NW response.</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FFS: Other conditions to reset the </w:t>
      </w:r>
      <w:r>
        <w:rPr>
          <w:rFonts w:hint="eastAsia" w:eastAsia="宋体"/>
          <w:i/>
          <w:iCs/>
        </w:rPr>
        <w:t>time window/counter</w:t>
      </w:r>
      <w:r>
        <w:rPr>
          <w:rFonts w:hint="eastAsia" w:eastAsia="宋体"/>
          <w:i/>
        </w:rPr>
        <w:t>.</w:t>
      </w:r>
    </w:p>
    <w:p>
      <w:pPr>
        <w:numPr>
          <w:ilvl w:val="0"/>
          <w:numId w:val="0"/>
        </w:numPr>
        <w:snapToGrid w:val="0"/>
        <w:spacing w:before="72" w:beforeLines="30" w:after="72" w:afterLines="30" w:line="288" w:lineRule="auto"/>
        <w:ind w:left="0" w:firstLine="0"/>
        <w:jc w:val="both"/>
        <w:rPr>
          <w:rFonts w:eastAsia="宋体"/>
          <w:bCs/>
        </w:rPr>
      </w:pPr>
      <w:r>
        <w:rPr>
          <w:rFonts w:hint="eastAsia" w:eastAsia="宋体"/>
          <w:b/>
          <w:bCs/>
          <w:u w:val="single"/>
        </w:rPr>
        <w:t>Transmission occasion for UL reserved/configured-grant resource</w:t>
      </w:r>
    </w:p>
    <w:p>
      <w:pPr>
        <w:snapToGrid w:val="0"/>
        <w:spacing w:before="72" w:beforeLines="30" w:after="72" w:afterLines="30" w:line="288" w:lineRule="auto"/>
        <w:jc w:val="both"/>
        <w:rPr>
          <w:rFonts w:eastAsia="宋体"/>
          <w:bCs/>
        </w:rPr>
      </w:pPr>
      <w:r>
        <w:rPr>
          <w:rFonts w:eastAsia="宋体"/>
          <w:bCs/>
        </w:rPr>
        <w:t>Regarding beam report transmission procedure for UE-initiated/event-driven beam reporting</w:t>
      </w:r>
      <w:r>
        <w:rPr>
          <w:rFonts w:hint="eastAsia" w:eastAsia="宋体"/>
          <w:bCs/>
        </w:rPr>
        <w:t xml:space="preserve">, </w:t>
      </w:r>
      <w:r>
        <w:rPr>
          <w:rFonts w:eastAsia="宋体"/>
          <w:bCs/>
        </w:rPr>
        <w:t xml:space="preserve">for either </w:t>
      </w:r>
      <w:r>
        <w:rPr>
          <w:rFonts w:hint="eastAsia" w:eastAsia="宋体"/>
          <w:bCs/>
        </w:rPr>
        <w:t>Mode-A</w:t>
      </w:r>
      <w:r>
        <w:rPr>
          <w:rFonts w:eastAsia="宋体"/>
          <w:bCs/>
        </w:rPr>
        <w:t xml:space="preserve"> or </w:t>
      </w:r>
      <w:r>
        <w:rPr>
          <w:rFonts w:hint="eastAsia" w:eastAsia="宋体"/>
          <w:bCs/>
        </w:rPr>
        <w:t>Mode-B</w:t>
      </w:r>
      <w:r>
        <w:rPr>
          <w:rFonts w:eastAsia="宋体"/>
          <w:bCs/>
        </w:rPr>
        <w:t>, some UL reserved/configured-grant resource</w:t>
      </w:r>
      <w:r>
        <w:rPr>
          <w:rFonts w:hint="eastAsia" w:eastAsia="宋体"/>
          <w:bCs/>
        </w:rPr>
        <w:t>s</w:t>
      </w:r>
      <w:r>
        <w:rPr>
          <w:rFonts w:eastAsia="宋体"/>
          <w:bCs/>
        </w:rPr>
        <w:t xml:space="preserve"> </w:t>
      </w:r>
      <w:r>
        <w:rPr>
          <w:rFonts w:hint="eastAsia" w:eastAsia="宋体"/>
          <w:bCs/>
        </w:rPr>
        <w:t xml:space="preserve">are used as uplink signaling container </w:t>
      </w:r>
      <w:r>
        <w:rPr>
          <w:rFonts w:eastAsia="宋体"/>
          <w:bCs/>
        </w:rPr>
        <w:t xml:space="preserve">(e.g., </w:t>
      </w:r>
      <w:r>
        <w:rPr>
          <w:rFonts w:hint="eastAsia" w:eastAsia="宋体"/>
          <w:bCs/>
        </w:rPr>
        <w:t>first PUCCH in both modes and Type-1 CG PUSCH in Mode-B</w:t>
      </w:r>
      <w:r>
        <w:rPr>
          <w:rFonts w:eastAsia="宋体"/>
          <w:bCs/>
        </w:rPr>
        <w:t xml:space="preserve">). </w:t>
      </w:r>
      <w:r>
        <w:rPr>
          <w:rFonts w:hint="eastAsia" w:eastAsia="宋体"/>
          <w:bCs/>
        </w:rPr>
        <w:t>U</w:t>
      </w:r>
      <w:r>
        <w:rPr>
          <w:rFonts w:eastAsia="宋体"/>
          <w:bCs/>
        </w:rPr>
        <w:t xml:space="preserve">nfortunately, although we have further extension of dynamic beam (unified TCI) update to UL resource (e.g., PUCCH), transmission occasion (e.g., time-domain offset) still can NOT be updated simultaneously. In NW, considering UE mobility while serving multiple UEs, there is serious misalignment between cell-specific/pre-determined beam switching pattern in time-domain and dynamic TCI update. Therefore, transmission occasion </w:t>
      </w:r>
      <w:r>
        <w:rPr>
          <w:rFonts w:hint="eastAsia" w:eastAsia="宋体"/>
          <w:bCs/>
        </w:rPr>
        <w:t xml:space="preserve">of the pre-configured UL resource </w:t>
      </w:r>
      <w:r>
        <w:rPr>
          <w:rFonts w:eastAsia="宋体"/>
          <w:bCs/>
        </w:rPr>
        <w:t xml:space="preserve">should be update simultaneously in such case as shown in Figure </w:t>
      </w:r>
      <w:r>
        <w:rPr>
          <w:rFonts w:hint="eastAsia" w:eastAsia="宋体"/>
          <w:bCs/>
        </w:rPr>
        <w:t>7</w:t>
      </w:r>
      <w:r>
        <w:rPr>
          <w:rFonts w:eastAsia="宋体"/>
          <w:bCs/>
        </w:rPr>
        <w:t>.</w:t>
      </w:r>
      <w:r>
        <w:rPr>
          <w:rFonts w:hint="eastAsia" w:eastAsia="宋体"/>
          <w:bCs/>
        </w:rPr>
        <w:t xml:space="preserve"> Such enhancement offers benefits in achieving higher transmission reliability by addressing beam pattern misalignment and reducing report latency by eliminating the need for reconfiguration of pre-configured UL resources. </w:t>
      </w:r>
    </w:p>
    <w:p>
      <w:pPr>
        <w:snapToGrid w:val="0"/>
        <w:spacing w:before="72" w:beforeLines="30" w:after="72" w:afterLines="30" w:line="288" w:lineRule="auto"/>
        <w:jc w:val="center"/>
        <w:rPr>
          <w:rFonts w:eastAsia="宋体"/>
          <w:bCs/>
        </w:rPr>
      </w:pPr>
      <w:r>
        <w:pict>
          <v:shape id="_x0000_i1026" o:spt="75" type="#_x0000_t75" style="height:161.55pt;width:405.45pt;" filled="f" o:preferrelative="t" stroked="f" coordsize="21600,21600">
            <v:path/>
            <v:fill on="f" focussize="0,0"/>
            <v:stroke on="f" joinstyle="miter"/>
            <v:imagedata r:id="rId15" o:title=""/>
            <o:lock v:ext="edit" aspectratio="t"/>
            <w10:wrap type="none"/>
            <w10:anchorlock/>
          </v:shape>
        </w:pict>
      </w:r>
    </w:p>
    <w:p>
      <w:pPr>
        <w:snapToGrid w:val="0"/>
        <w:spacing w:before="72" w:beforeLines="30" w:after="72" w:afterLines="30" w:line="288" w:lineRule="auto"/>
        <w:jc w:val="center"/>
        <w:rPr>
          <w:rFonts w:eastAsia="宋体"/>
          <w:bCs/>
        </w:rPr>
      </w:pPr>
      <w:r>
        <w:rPr>
          <w:rFonts w:eastAsia="宋体"/>
          <w:b/>
        </w:rPr>
        <w:t xml:space="preserve">Figure </w:t>
      </w:r>
      <w:r>
        <w:rPr>
          <w:rFonts w:hint="eastAsia" w:eastAsia="宋体"/>
          <w:b/>
        </w:rPr>
        <w:t>7</w:t>
      </w:r>
      <w:r>
        <w:rPr>
          <w:rFonts w:eastAsia="宋体"/>
          <w:bCs/>
        </w:rPr>
        <w:t xml:space="preserve"> Updating transmission occasion (TO) of reserved/configured-grant resource (e.g., SR) based on the indicated TCI state</w:t>
      </w:r>
    </w:p>
    <w:p>
      <w:pPr>
        <w:snapToGrid w:val="0"/>
        <w:spacing w:before="72" w:beforeLines="30" w:after="72" w:afterLines="30" w:line="288" w:lineRule="auto"/>
        <w:jc w:val="both"/>
        <w:rPr>
          <w:rFonts w:eastAsia="宋体"/>
          <w:bCs/>
          <w:i/>
          <w:iCs/>
        </w:rPr>
      </w:pPr>
      <w:r>
        <w:rPr>
          <w:rFonts w:eastAsia="宋体"/>
          <w:b/>
          <w:i/>
          <w:iCs/>
        </w:rPr>
        <w:t>Proposal 1</w:t>
      </w:r>
      <w:r>
        <w:rPr>
          <w:rFonts w:hint="eastAsia" w:eastAsia="宋体"/>
          <w:b/>
          <w:i/>
          <w:iCs/>
        </w:rPr>
        <w:t>7</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2"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with the following proposals.</w:t>
      </w:r>
      <w:bookmarkEnd w:id="2"/>
    </w:p>
    <w:p>
      <w:pPr>
        <w:pStyle w:val="111"/>
        <w:widowControl w:val="0"/>
        <w:spacing w:before="72" w:beforeLines="30" w:after="72" w:afterLines="30" w:line="288" w:lineRule="auto"/>
        <w:ind w:firstLine="0" w:firstLineChars="0"/>
        <w:jc w:val="both"/>
        <w:rPr>
          <w:rFonts w:eastAsia="宋体"/>
          <w:i/>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i/>
          <w:szCs w:val="20"/>
        </w:rPr>
        <w:t xml:space="preserve">Regarding the explicit measurement </w:t>
      </w:r>
      <w:r>
        <w:rPr>
          <w:rFonts w:hint="eastAsia"/>
          <w:i/>
        </w:rPr>
        <w:t xml:space="preserve">RS </w:t>
      </w:r>
      <w:r>
        <w:rPr>
          <w:rFonts w:hint="eastAsia" w:eastAsia="宋体"/>
          <w:i/>
        </w:rPr>
        <w:t xml:space="preserve">configuration </w:t>
      </w:r>
      <w:r>
        <w:rPr>
          <w:rFonts w:hint="eastAsia"/>
          <w:i/>
        </w:rPr>
        <w:t>for new beam</w:t>
      </w:r>
      <w:r>
        <w:rPr>
          <w:rFonts w:hint="eastAsia" w:eastAsia="宋体"/>
          <w:i/>
        </w:rPr>
        <w:t xml:space="preserve">s in the RS resource set associated with an CSI reporting configuration </w:t>
      </w:r>
      <w:r>
        <w:rPr>
          <w:rFonts w:hint="eastAsia"/>
          <w:i/>
        </w:rPr>
        <w:t>for Event 2,</w:t>
      </w:r>
      <w:r>
        <w:rPr>
          <w:i/>
        </w:rPr>
        <w:t xml:space="preserve"> support that:</w:t>
      </w:r>
    </w:p>
    <w:p>
      <w:pPr>
        <w:numPr>
          <w:ilvl w:val="0"/>
          <w:numId w:val="12"/>
        </w:numPr>
        <w:snapToGrid w:val="0"/>
        <w:spacing w:before="72" w:beforeLines="30" w:after="72" w:afterLines="30" w:line="288" w:lineRule="auto"/>
        <w:jc w:val="both"/>
        <w:rPr>
          <w:i/>
        </w:rPr>
      </w:pPr>
      <w:r>
        <w:rPr>
          <w:rFonts w:hint="eastAsia" w:eastAsia="宋体"/>
          <w:i/>
        </w:rPr>
        <w:t xml:space="preserve">The RS in the RS resource set can be updated by MAC-CE. </w:t>
      </w:r>
    </w:p>
    <w:p>
      <w:pPr>
        <w:numPr>
          <w:ilvl w:val="0"/>
          <w:numId w:val="12"/>
        </w:numPr>
        <w:snapToGrid w:val="0"/>
        <w:spacing w:before="72" w:beforeLines="30" w:after="72" w:afterLines="30" w:line="288" w:lineRule="auto"/>
        <w:jc w:val="both"/>
        <w:rPr>
          <w:rFonts w:eastAsia="宋体"/>
        </w:rPr>
      </w:pPr>
      <w:r>
        <w:rPr>
          <w:rFonts w:hint="eastAsia" w:eastAsia="宋体"/>
          <w:i/>
          <w:iCs/>
        </w:rPr>
        <w:t xml:space="preserve">Each RS in the RS resource set should be associated with a configured TCI state which can be used </w:t>
      </w:r>
      <w:r>
        <w:rPr>
          <w:rFonts w:eastAsia="宋体"/>
          <w:i/>
          <w:iCs/>
        </w:rPr>
        <w:t>for updating</w:t>
      </w:r>
      <w:r>
        <w:rPr>
          <w:rFonts w:hint="eastAsia" w:eastAsia="宋体"/>
          <w:i/>
          <w:iCs/>
        </w:rPr>
        <w:t xml:space="preserve"> the indicated TCI state.</w:t>
      </w:r>
    </w:p>
    <w:p>
      <w:pPr>
        <w:pStyle w:val="111"/>
        <w:widowControl w:val="0"/>
        <w:spacing w:before="72" w:beforeLines="30" w:after="72" w:afterLines="30" w:line="288" w:lineRule="auto"/>
        <w:ind w:firstLine="0" w:firstLineChars="0"/>
        <w:jc w:val="both"/>
        <w:rPr>
          <w:rFonts w:eastAsia="宋体"/>
          <w:i/>
          <w:szCs w:val="20"/>
        </w:rPr>
      </w:pPr>
      <w:r>
        <w:rPr>
          <w:rFonts w:hint="eastAsia"/>
          <w:b/>
          <w:bCs/>
          <w:i/>
          <w:iCs/>
          <w:szCs w:val="20"/>
        </w:rPr>
        <w:t xml:space="preserve">Proposal </w:t>
      </w:r>
      <w:r>
        <w:rPr>
          <w:rFonts w:hint="eastAsia" w:eastAsia="宋体"/>
          <w:b/>
          <w:bCs/>
          <w:i/>
          <w:iCs/>
          <w:szCs w:val="20"/>
        </w:rPr>
        <w:t>2</w:t>
      </w:r>
      <w:r>
        <w:rPr>
          <w:rFonts w:hint="eastAsia"/>
          <w:b/>
          <w:bCs/>
          <w:i/>
          <w:iCs/>
          <w:szCs w:val="20"/>
        </w:rPr>
        <w:t xml:space="preserve">: </w:t>
      </w:r>
      <w:r>
        <w:rPr>
          <w:rFonts w:hint="eastAsia" w:eastAsia="宋体"/>
          <w:i/>
          <w:szCs w:val="20"/>
        </w:rPr>
        <w:t>Regarding RS measurement for the current beam for Event 2, support Option-4 for handling the case that only one TRS is configured in the indicated TCI state.</w:t>
      </w:r>
    </w:p>
    <w:p>
      <w:pPr>
        <w:numPr>
          <w:ilvl w:val="0"/>
          <w:numId w:val="12"/>
        </w:numPr>
        <w:snapToGrid w:val="0"/>
        <w:spacing w:before="72" w:beforeLines="30" w:after="72" w:afterLines="30" w:line="288" w:lineRule="auto"/>
        <w:jc w:val="both"/>
        <w:rPr>
          <w:rFonts w:eastAsia="宋体"/>
          <w:i/>
          <w:iCs/>
        </w:rPr>
      </w:pPr>
      <w:r>
        <w:rPr>
          <w:rFonts w:hint="eastAsia" w:eastAsia="宋体"/>
          <w:i/>
          <w:iCs/>
        </w:rPr>
        <w:t>In such case, UE does not expect to be configured to enable Scheme-1.</w:t>
      </w:r>
    </w:p>
    <w:p>
      <w:pPr>
        <w:snapToGrid w:val="0"/>
        <w:spacing w:before="72" w:beforeLines="30" w:after="72" w:afterLines="30" w:line="288" w:lineRule="auto"/>
        <w:jc w:val="both"/>
        <w:rPr>
          <w:rFonts w:eastAsia="宋体"/>
          <w:i/>
          <w:iCs/>
        </w:rPr>
      </w:pPr>
      <w:r>
        <w:rPr>
          <w:rFonts w:hint="eastAsia" w:eastAsia="宋体"/>
          <w:b/>
          <w:bCs/>
          <w:i/>
          <w:iCs/>
        </w:rPr>
        <w:t>Proposal 3:</w:t>
      </w:r>
      <w:r>
        <w:rPr>
          <w:rFonts w:hint="eastAsia" w:eastAsia="宋体"/>
          <w:i/>
          <w:iCs/>
        </w:rPr>
        <w:t xml:space="preserve"> Regarding the number of reported RSs in report format depending on Event-2, support additional candidate value(s) of {5, 6, 7, 8}.</w:t>
      </w:r>
    </w:p>
    <w:p>
      <w:pPr>
        <w:snapToGrid w:val="0"/>
        <w:spacing w:before="72" w:beforeLines="30" w:after="72" w:afterLines="30" w:line="288" w:lineRule="auto"/>
        <w:jc w:val="both"/>
        <w:rPr>
          <w:rFonts w:eastAsia="宋体"/>
          <w:i/>
          <w:iCs/>
        </w:rPr>
      </w:pPr>
      <w:r>
        <w:rPr>
          <w:rFonts w:hint="eastAsia" w:eastAsia="宋体"/>
          <w:b/>
          <w:bCs/>
          <w:i/>
          <w:iCs/>
        </w:rPr>
        <w:t xml:space="preserve">Proposal 4: </w:t>
      </w:r>
      <w:r>
        <w:rPr>
          <w:rFonts w:hint="eastAsia" w:eastAsia="宋体"/>
          <w:i/>
          <w:iCs/>
        </w:rPr>
        <w:t>Regarding differential L1-RSRP in report format depending on Event-2, support that the differential L1-RSRP is quantized to a 4-bit value with 2 dB step size as in legacy.</w:t>
      </w:r>
    </w:p>
    <w:p>
      <w:pPr>
        <w:pStyle w:val="111"/>
        <w:numPr>
          <w:ilvl w:val="0"/>
          <w:numId w:val="13"/>
        </w:numPr>
        <w:snapToGrid w:val="0"/>
        <w:spacing w:before="72" w:beforeLines="30" w:after="72" w:afterLines="30" w:line="288" w:lineRule="auto"/>
        <w:ind w:firstLineChars="0"/>
        <w:jc w:val="both"/>
        <w:rPr>
          <w:rFonts w:eastAsia="宋体"/>
          <w:i/>
          <w:iCs/>
        </w:rPr>
      </w:pPr>
      <w:r>
        <w:rPr>
          <w:rFonts w:eastAsia="宋体"/>
          <w:i/>
          <w:iCs/>
        </w:rPr>
        <w:t>FFS on the value range of differential L1-RSR</w:t>
      </w:r>
      <w:r>
        <w:rPr>
          <w:rFonts w:hint="eastAsia" w:eastAsia="宋体"/>
          <w:i/>
          <w:iCs/>
        </w:rPr>
        <w:t>P</w:t>
      </w:r>
      <w:r>
        <w:rPr>
          <w:rFonts w:eastAsia="宋体"/>
          <w:i/>
          <w:iCs/>
        </w:rPr>
        <w:t>.</w:t>
      </w:r>
    </w:p>
    <w:p>
      <w:pPr>
        <w:pStyle w:val="99"/>
        <w:snapToGrid w:val="0"/>
        <w:spacing w:before="60" w:beforeLines="25" w:after="60" w:afterLines="25" w:line="300" w:lineRule="auto"/>
        <w:ind w:firstLine="0" w:firstLineChars="0"/>
        <w:jc w:val="both"/>
        <w:rPr>
          <w:rFonts w:eastAsia="宋体"/>
        </w:rPr>
      </w:pPr>
      <w:r>
        <w:rPr>
          <w:rFonts w:hint="eastAsia" w:eastAsia="宋体"/>
          <w:b/>
          <w:bCs/>
          <w:i/>
          <w:iCs/>
        </w:rPr>
        <w:t>Proposal 5:</w:t>
      </w:r>
      <w:r>
        <w:rPr>
          <w:rFonts w:hint="eastAsia" w:eastAsia="宋体"/>
          <w:i/>
          <w:iCs/>
        </w:rPr>
        <w:t xml:space="preserve"> On UE-initiated/event-driven beam reporting, regarding Event-1 and Event-7, support to reuse the same design of current beam determination, new beam determination, measurement quality metrics and counter based </w:t>
      </w:r>
      <w:r>
        <w:rPr>
          <w:rFonts w:hint="eastAsia" w:eastAsia="宋体"/>
          <w:i/>
          <w:iCs/>
          <w:lang w:val="en-US" w:eastAsia="zh-CN"/>
        </w:rPr>
        <w:t xml:space="preserve">event </w:t>
      </w:r>
      <w:r>
        <w:rPr>
          <w:rFonts w:hint="eastAsia" w:eastAsia="宋体"/>
          <w:i/>
          <w:iCs/>
        </w:rPr>
        <w:t xml:space="preserve">triggering as Event-2, besides for clarification that the definition of </w:t>
      </w:r>
      <w:r>
        <w:rPr>
          <w:rFonts w:eastAsia="宋体"/>
          <w:i/>
          <w:iCs/>
        </w:rPr>
        <w:t>‘</w:t>
      </w:r>
      <w:r>
        <w:rPr>
          <w:rFonts w:hint="eastAsia" w:eastAsia="宋体"/>
          <w:i/>
          <w:iCs/>
        </w:rPr>
        <w:t>current beam</w:t>
      </w:r>
      <w:r>
        <w:rPr>
          <w:rFonts w:eastAsia="宋体"/>
          <w:i/>
          <w:iCs/>
        </w:rPr>
        <w:t>’</w:t>
      </w:r>
      <w:r>
        <w:rPr>
          <w:rFonts w:hint="eastAsia" w:eastAsia="宋体"/>
          <w:i/>
          <w:iCs/>
        </w:rPr>
        <w:t xml:space="preserve"> for Event-7 corresponds to the </w:t>
      </w:r>
      <w:r>
        <w:rPr>
          <w:rFonts w:eastAsia="宋体"/>
          <w:i/>
          <w:iCs/>
        </w:rPr>
        <w:t>‘</w:t>
      </w:r>
      <w:r>
        <w:rPr>
          <w:rFonts w:hint="eastAsia" w:eastAsia="宋体"/>
          <w:i/>
          <w:iCs/>
        </w:rPr>
        <w:t>activated TCI state with M-th best quality</w:t>
      </w:r>
      <w:r>
        <w:rPr>
          <w:rFonts w:eastAsia="宋体"/>
          <w:i/>
          <w:iCs/>
        </w:rPr>
        <w:t>’</w:t>
      </w:r>
      <w:r>
        <w:rPr>
          <w:rFonts w:hint="eastAsia" w:eastAsia="宋体"/>
          <w:i/>
          <w:iCs/>
        </w:rPr>
        <w:t>.</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6</w:t>
      </w:r>
      <w:r>
        <w:rPr>
          <w:b/>
          <w:i/>
          <w:szCs w:val="21"/>
        </w:rPr>
        <w:t>:</w:t>
      </w:r>
      <w:r>
        <w:rPr>
          <w:bCs/>
          <w:i/>
          <w:szCs w:val="21"/>
        </w:rPr>
        <w:t xml:space="preserve"> </w:t>
      </w:r>
      <w:r>
        <w:rPr>
          <w:rFonts w:hint="eastAsia" w:eastAsia="宋体"/>
          <w:i/>
          <w:szCs w:val="20"/>
        </w:rPr>
        <w:t>On UE-initiated/event-driven beam reporting, regarding UL signaling content(s) of L1-RSRP report depending on Event-7,</w:t>
      </w:r>
      <w:r>
        <w:rPr>
          <w:rFonts w:eastAsia="宋体"/>
          <w:i/>
          <w:szCs w:val="20"/>
        </w:rPr>
        <w:t xml:space="preserve"> the option-3 on Event-2 is reused, except for the following:</w:t>
      </w:r>
    </w:p>
    <w:p>
      <w:pPr>
        <w:numPr>
          <w:ilvl w:val="0"/>
          <w:numId w:val="12"/>
        </w:numPr>
        <w:snapToGrid w:val="0"/>
        <w:spacing w:before="72" w:beforeLines="30" w:after="72" w:afterLines="30" w:line="288" w:lineRule="auto"/>
        <w:jc w:val="both"/>
        <w:rPr>
          <w:rFonts w:eastAsia="宋体"/>
          <w:i/>
          <w:iCs/>
          <w:szCs w:val="20"/>
        </w:rPr>
      </w:pPr>
      <w:r>
        <w:rPr>
          <w:rFonts w:eastAsia="宋体"/>
          <w:i/>
          <w:szCs w:val="20"/>
        </w:rPr>
        <w:t xml:space="preserve">Clarifying that the ‘current beam’ refers to </w:t>
      </w:r>
      <w:r>
        <w:rPr>
          <w:rFonts w:hint="eastAsia" w:eastAsia="宋体"/>
          <w:i/>
          <w:iCs/>
        </w:rPr>
        <w:t>the M-th best activated TCI state</w:t>
      </w:r>
      <w:r>
        <w:rPr>
          <w:rFonts w:eastAsia="宋体"/>
          <w:i/>
          <w:iCs/>
        </w:rPr>
        <w:t xml:space="preserve">, and </w:t>
      </w:r>
      <w:r>
        <w:rPr>
          <w:rFonts w:hint="eastAsia" w:eastAsia="宋体"/>
          <w:i/>
          <w:iCs/>
        </w:rPr>
        <w:t xml:space="preserve">the M-th best activated TCI state </w:t>
      </w:r>
      <w:r>
        <w:rPr>
          <w:rFonts w:eastAsia="宋体"/>
          <w:i/>
          <w:iCs/>
        </w:rPr>
        <w:t xml:space="preserve">as well as </w:t>
      </w:r>
      <w:r>
        <w:rPr>
          <w:rFonts w:hint="eastAsia" w:eastAsia="宋体"/>
          <w:i/>
          <w:iCs/>
        </w:rPr>
        <w:t xml:space="preserve">its </w:t>
      </w:r>
      <w:r>
        <w:rPr>
          <w:rFonts w:eastAsia="宋体"/>
          <w:i/>
          <w:iCs/>
        </w:rPr>
        <w:t>corresponding TCI codepoint index should be</w:t>
      </w:r>
      <w:r>
        <w:rPr>
          <w:rFonts w:hint="eastAsia" w:eastAsia="宋体"/>
          <w:i/>
          <w:iCs/>
        </w:rPr>
        <w:t xml:space="preserve"> always reported in addition to the N beams</w:t>
      </w:r>
      <w:r>
        <w:rPr>
          <w:rFonts w:eastAsia="宋体"/>
          <w:i/>
          <w:iCs/>
        </w:rPr>
        <w:t>.</w:t>
      </w:r>
    </w:p>
    <w:p>
      <w:pPr>
        <w:numPr>
          <w:ilvl w:val="1"/>
          <w:numId w:val="12"/>
        </w:numPr>
        <w:snapToGrid w:val="0"/>
        <w:spacing w:before="72" w:beforeLines="30" w:after="72" w:afterLines="30" w:line="288" w:lineRule="auto"/>
        <w:jc w:val="both"/>
        <w:rPr>
          <w:rFonts w:eastAsia="宋体"/>
          <w:i/>
          <w:iCs/>
        </w:rPr>
      </w:pPr>
      <w:r>
        <w:rPr>
          <w:rFonts w:eastAsia="宋体"/>
          <w:i/>
          <w:iCs/>
        </w:rPr>
        <w:t xml:space="preserve">Note: </w:t>
      </w:r>
      <w:r>
        <w:rPr>
          <w:rFonts w:hint="eastAsia" w:eastAsia="宋体"/>
          <w:i/>
          <w:iCs/>
        </w:rPr>
        <w:t>At least one of N reported beam(s) should satisfy the condition of Event-7.</w:t>
      </w:r>
    </w:p>
    <w:p>
      <w:pPr>
        <w:pStyle w:val="111"/>
        <w:widowControl w:val="0"/>
        <w:numPr>
          <w:ilvl w:val="0"/>
          <w:numId w:val="12"/>
        </w:numPr>
        <w:spacing w:before="72" w:beforeLines="30" w:after="72" w:afterLines="30" w:line="288" w:lineRule="auto"/>
        <w:ind w:firstLineChars="0"/>
        <w:jc w:val="both"/>
        <w:rPr>
          <w:rFonts w:eastAsia="宋体"/>
          <w:i/>
          <w:szCs w:val="20"/>
        </w:rPr>
      </w:pPr>
      <w:r>
        <w:rPr>
          <w:rFonts w:eastAsia="宋体"/>
          <w:i/>
          <w:szCs w:val="20"/>
        </w:rPr>
        <w:t>Additional information for facilitating the subsequent TCI activation/deactivation:</w:t>
      </w:r>
    </w:p>
    <w:p>
      <w:pPr>
        <w:pStyle w:val="111"/>
        <w:widowControl w:val="0"/>
        <w:numPr>
          <w:ilvl w:val="1"/>
          <w:numId w:val="12"/>
        </w:numPr>
        <w:spacing w:before="72" w:beforeLines="30" w:after="72" w:afterLines="30" w:line="288" w:lineRule="auto"/>
        <w:ind w:firstLineChars="0"/>
        <w:jc w:val="both"/>
        <w:rPr>
          <w:rFonts w:eastAsia="宋体"/>
          <w:i/>
          <w:szCs w:val="20"/>
        </w:rPr>
      </w:pPr>
      <w:r>
        <w:rPr>
          <w:rFonts w:eastAsia="宋体"/>
          <w:i/>
          <w:szCs w:val="20"/>
        </w:rPr>
        <w:t>Introducing the candidate value of N comprising {5, 6, 7, 8}</w:t>
      </w:r>
      <w:r>
        <w:rPr>
          <w:rFonts w:hint="eastAsia" w:eastAsia="宋体"/>
          <w:i/>
          <w:szCs w:val="20"/>
        </w:rPr>
        <w:t>.</w:t>
      </w:r>
    </w:p>
    <w:p>
      <w:pPr>
        <w:numPr>
          <w:ilvl w:val="1"/>
          <w:numId w:val="12"/>
        </w:numPr>
        <w:snapToGrid w:val="0"/>
        <w:spacing w:before="72" w:beforeLines="30" w:after="72" w:afterLines="30" w:line="288" w:lineRule="auto"/>
        <w:jc w:val="both"/>
        <w:rPr>
          <w:rFonts w:eastAsia="宋体"/>
        </w:rPr>
      </w:pPr>
      <w:r>
        <w:rPr>
          <w:rFonts w:hint="eastAsia" w:eastAsia="宋体"/>
          <w:i/>
          <w:iCs/>
        </w:rPr>
        <w:t>FFS: Whether to additionally report the activated TCI state other than the M-th best activated TCI state.</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7</w:t>
      </w:r>
      <w:r>
        <w:rPr>
          <w:b/>
          <w:i/>
          <w:szCs w:val="21"/>
        </w:rPr>
        <w:t>:</w:t>
      </w:r>
      <w:r>
        <w:rPr>
          <w:bCs/>
          <w:i/>
          <w:szCs w:val="21"/>
        </w:rPr>
        <w:t xml:space="preserve"> </w:t>
      </w:r>
      <w:r>
        <w:rPr>
          <w:rFonts w:hint="eastAsia" w:eastAsia="宋体"/>
          <w:i/>
          <w:szCs w:val="20"/>
        </w:rPr>
        <w:t xml:space="preserve">On UE-initiated/event-driven beam reporting depending on Event-1, regarding UL signaling content(s) of L1-RSRP report depending on Event-1, support the following two alternatives. </w:t>
      </w:r>
    </w:p>
    <w:p>
      <w:pPr>
        <w:numPr>
          <w:ilvl w:val="0"/>
          <w:numId w:val="12"/>
        </w:numPr>
        <w:snapToGrid w:val="0"/>
        <w:spacing w:before="72" w:beforeLines="30" w:after="72" w:afterLines="30" w:line="288" w:lineRule="auto"/>
        <w:jc w:val="both"/>
        <w:rPr>
          <w:rFonts w:eastAsia="宋体"/>
          <w:i/>
          <w:iCs/>
        </w:rPr>
      </w:pPr>
      <w:r>
        <w:rPr>
          <w:rFonts w:hint="eastAsia" w:eastAsia="宋体"/>
          <w:i/>
          <w:iCs/>
        </w:rPr>
        <w:t>Alt-1: One bit indication.</w:t>
      </w:r>
    </w:p>
    <w:p>
      <w:pPr>
        <w:numPr>
          <w:ilvl w:val="0"/>
          <w:numId w:val="12"/>
        </w:numPr>
        <w:snapToGrid w:val="0"/>
        <w:spacing w:before="72" w:beforeLines="30" w:after="72" w:afterLines="30" w:line="288" w:lineRule="auto"/>
        <w:jc w:val="both"/>
        <w:rPr>
          <w:rFonts w:eastAsia="宋体"/>
          <w:i/>
          <w:iCs/>
        </w:rPr>
      </w:pPr>
      <w:r>
        <w:rPr>
          <w:rFonts w:hint="eastAsia" w:eastAsia="宋体"/>
          <w:i/>
          <w:iCs/>
        </w:rPr>
        <w:t>Alt-2: L1-RSRP value of the current beam.</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8:</w:t>
      </w:r>
      <w:r>
        <w:rPr>
          <w:rFonts w:hint="eastAsia" w:eastAsia="宋体"/>
          <w:i/>
          <w:iCs/>
        </w:rPr>
        <w:t xml:space="preserve"> Regarding transmission of the first PUCCH in response to triggering of a UE-initiated beam report in both Mode-A and Mode-B, support to apply a prohibit-timer for first PUCCH channel.</w:t>
      </w:r>
    </w:p>
    <w:p>
      <w:pPr>
        <w:numPr>
          <w:ilvl w:val="0"/>
          <w:numId w:val="12"/>
        </w:numPr>
        <w:snapToGrid w:val="0"/>
        <w:spacing w:before="72" w:beforeLines="30" w:after="72" w:afterLines="30" w:line="288" w:lineRule="auto"/>
        <w:jc w:val="both"/>
        <w:rPr>
          <w:rFonts w:eastAsia="宋体"/>
          <w:i/>
          <w:iCs/>
        </w:rPr>
      </w:pPr>
      <w:r>
        <w:rPr>
          <w:rFonts w:hint="eastAsia" w:eastAsia="宋体"/>
          <w:i/>
          <w:iCs/>
        </w:rPr>
        <w:t>UE transmits the first PUCCH in a valid uplink resource when the first PUCCH is triggered and the prohibit-timer is not running.</w:t>
      </w:r>
    </w:p>
    <w:p>
      <w:pPr>
        <w:numPr>
          <w:ilvl w:val="0"/>
          <w:numId w:val="12"/>
        </w:numPr>
        <w:snapToGrid w:val="0"/>
        <w:spacing w:before="72" w:beforeLines="30" w:after="72" w:afterLines="30" w:line="288" w:lineRule="auto"/>
        <w:jc w:val="both"/>
        <w:rPr>
          <w:rFonts w:eastAsia="宋体"/>
          <w:i/>
          <w:iCs/>
        </w:rPr>
      </w:pPr>
      <w:r>
        <w:rPr>
          <w:rFonts w:hint="eastAsia" w:eastAsia="宋体"/>
          <w:i/>
          <w:iCs/>
        </w:rPr>
        <w:t>FFS: Details of starting or stopping the prohibit-timer in Mode A and Mode-B.</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FFS: Whether/how to apply the maximum number of transmission(s) for first PUCCH channel. </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9:</w:t>
      </w:r>
      <w:r>
        <w:rPr>
          <w:rFonts w:hint="eastAsia" w:eastAsia="宋体"/>
          <w:i/>
          <w:iCs/>
        </w:rPr>
        <w:t xml:space="preserve"> </w:t>
      </w:r>
      <w:r>
        <w:rPr>
          <w:rFonts w:eastAsia="PMingLiU"/>
          <w:i/>
          <w:iCs/>
          <w:color w:val="000000"/>
          <w:szCs w:val="18"/>
          <w:shd w:val="clear" w:color="auto" w:fill="FFFFFF"/>
          <w:lang w:eastAsia="zh-TW"/>
        </w:rPr>
        <w:t xml:space="preserve">On beam report transmission procedure for UE-initiated/event-driven beam reporting, </w:t>
      </w:r>
      <w:r>
        <w:rPr>
          <w:rFonts w:hint="eastAsia" w:eastAsia="宋体"/>
          <w:i/>
          <w:iCs/>
          <w:color w:val="000000"/>
          <w:szCs w:val="18"/>
          <w:shd w:val="clear" w:color="auto" w:fill="FFFFFF"/>
        </w:rPr>
        <w:t xml:space="preserve">support that the PUCCH resource in the first PUCCH channel </w:t>
      </w:r>
      <w:r>
        <w:rPr>
          <w:rFonts w:eastAsia="宋体"/>
          <w:i/>
          <w:iCs/>
          <w:color w:val="000000"/>
          <w:szCs w:val="18"/>
          <w:shd w:val="clear" w:color="auto" w:fill="FFFFFF"/>
        </w:rPr>
        <w:t>for</w:t>
      </w:r>
      <w:r>
        <w:rPr>
          <w:rFonts w:hint="eastAsia" w:eastAsia="宋体"/>
          <w:i/>
          <w:iCs/>
          <w:color w:val="000000"/>
          <w:szCs w:val="18"/>
          <w:shd w:val="clear" w:color="auto" w:fill="FFFFFF"/>
        </w:rPr>
        <w:t xml:space="preserve"> Mode-B can be associated with multiple CSI report configurations for UE-initiated/event-driven beam reporting from one CC.</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color w:val="000000"/>
          <w:szCs w:val="20"/>
        </w:rPr>
        <w:t>Extending the maximum number of SR configurations if the first PUCCH is associated with an SR.</w:t>
      </w:r>
    </w:p>
    <w:p>
      <w:pPr>
        <w:numPr>
          <w:ilvl w:val="0"/>
          <w:numId w:val="12"/>
        </w:numPr>
        <w:snapToGrid w:val="0"/>
        <w:spacing w:before="72" w:beforeLines="30" w:after="72" w:afterLines="30" w:line="288" w:lineRule="auto"/>
        <w:jc w:val="both"/>
        <w:rPr>
          <w:rFonts w:eastAsia="宋体"/>
          <w:i/>
          <w:iCs/>
          <w:color w:val="000000"/>
          <w:szCs w:val="20"/>
        </w:rPr>
      </w:pPr>
      <w:r>
        <w:rPr>
          <w:rFonts w:hint="eastAsia" w:eastAsia="宋体"/>
          <w:i/>
          <w:iCs/>
        </w:rPr>
        <w:t>FFS: For Mode-A, whether the PUCCH resource in the first PUCCH channel can be associated with multiple CSI report configurations for UE-initiated/event-driven beam reporting from one or multiple CC(s).</w:t>
      </w:r>
      <w:r>
        <w:rPr>
          <w:rFonts w:hint="eastAsia" w:eastAsia="宋体"/>
          <w:i/>
          <w:iCs/>
          <w:color w:val="000000"/>
          <w:szCs w:val="20"/>
        </w:rPr>
        <w:t xml:space="preserve"> </w:t>
      </w:r>
    </w:p>
    <w:p>
      <w:pPr>
        <w:snapToGrid w:val="0"/>
        <w:spacing w:before="72" w:beforeLines="30" w:after="72" w:afterLines="30" w:line="288" w:lineRule="auto"/>
        <w:jc w:val="both"/>
        <w:rPr>
          <w:rFonts w:eastAsia="宋体"/>
          <w:i/>
          <w:iCs/>
        </w:rPr>
      </w:pPr>
      <w:r>
        <w:rPr>
          <w:rFonts w:hint="eastAsia" w:eastAsia="宋体"/>
          <w:b/>
          <w:bCs/>
          <w:i/>
          <w:iCs/>
        </w:rPr>
        <w:t>Proposal 10:</w:t>
      </w:r>
      <w:r>
        <w:rPr>
          <w:rFonts w:hint="eastAsia" w:eastAsia="宋体"/>
          <w:i/>
          <w:iCs/>
        </w:rPr>
        <w:t xml:space="preserve"> On beam report transmission procedure for UE-initiated/event-driven beam reporting, regarding the triggering procedure in Step-2 of Mode-A, support Option-1.</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 xml:space="preserve">Option-1: Introduce a new 1-bit field in DCI format 0_1/0_2 to trigger the transmission of the UEI beam report. </w:t>
      </w:r>
    </w:p>
    <w:p>
      <w:pPr>
        <w:adjustRightInd w:val="0"/>
        <w:snapToGrid w:val="0"/>
        <w:spacing w:before="72" w:beforeLines="30" w:after="72" w:afterLines="30" w:line="288" w:lineRule="auto"/>
        <w:jc w:val="both"/>
        <w:rPr>
          <w:rFonts w:eastAsia="宋体"/>
          <w:i/>
          <w:iCs/>
          <w:szCs w:val="20"/>
        </w:rPr>
      </w:pPr>
      <w:r>
        <w:rPr>
          <w:rFonts w:hint="eastAsia" w:eastAsia="宋体"/>
          <w:b/>
          <w:bCs/>
          <w:i/>
          <w:iCs/>
          <w:color w:val="000000"/>
          <w:szCs w:val="20"/>
        </w:rPr>
        <w:t>Proposal 11:</w:t>
      </w:r>
      <w:r>
        <w:rPr>
          <w:rFonts w:hint="eastAsia" w:eastAsia="宋体"/>
          <w:i/>
          <w:iCs/>
          <w:color w:val="000000"/>
          <w:szCs w:val="20"/>
        </w:rPr>
        <w:t xml:space="preserve"> </w:t>
      </w:r>
      <w:r>
        <w:rPr>
          <w:rFonts w:eastAsia="宋体"/>
          <w:i/>
          <w:iCs/>
          <w:color w:val="000000"/>
          <w:szCs w:val="20"/>
        </w:rPr>
        <w:t>On beam report transmission procedure for UE-initiated/</w:t>
      </w:r>
      <w:r>
        <w:rPr>
          <w:rFonts w:eastAsia="宋体"/>
          <w:i/>
          <w:iCs/>
          <w:szCs w:val="20"/>
        </w:rPr>
        <w:t>event-driven beam reporting, regarding Event-2, for Mode-</w:t>
      </w:r>
      <w:r>
        <w:rPr>
          <w:rFonts w:hint="eastAsia" w:eastAsia="宋体"/>
          <w:i/>
          <w:iCs/>
          <w:szCs w:val="20"/>
        </w:rPr>
        <w:t>A</w:t>
      </w:r>
      <w:r>
        <w:rPr>
          <w:rFonts w:eastAsia="宋体"/>
          <w:i/>
          <w:iCs/>
          <w:szCs w:val="20"/>
        </w:rPr>
        <w:t xml:space="preserve">, </w:t>
      </w:r>
      <w:r>
        <w:rPr>
          <w:rFonts w:hint="eastAsia" w:eastAsia="宋体"/>
          <w:i/>
          <w:iCs/>
          <w:szCs w:val="20"/>
        </w:rPr>
        <w:t>support to down-select the following two alternatives.</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Alt-1: The beam report should be carried in the second UL channel in the CC where the corresponding CSI report configuration is configured.</w:t>
      </w:r>
    </w:p>
    <w:p>
      <w:pPr>
        <w:numPr>
          <w:ilvl w:val="1"/>
          <w:numId w:val="12"/>
        </w:numPr>
        <w:snapToGrid w:val="0"/>
        <w:spacing w:before="72" w:beforeLines="30" w:after="72" w:afterLines="30" w:line="288" w:lineRule="auto"/>
        <w:jc w:val="both"/>
        <w:rPr>
          <w:rFonts w:eastAsia="宋体"/>
          <w:i/>
          <w:iCs/>
          <w:szCs w:val="20"/>
        </w:rPr>
      </w:pPr>
      <w:r>
        <w:rPr>
          <w:rFonts w:hint="eastAsia" w:eastAsia="宋体"/>
          <w:i/>
          <w:iCs/>
          <w:szCs w:val="20"/>
        </w:rPr>
        <w:t>The CSI report configurations for UEIBR configured in the same cell can be associated with the same first PUCCH resource.</w:t>
      </w:r>
    </w:p>
    <w:p>
      <w:pPr>
        <w:numPr>
          <w:ilvl w:val="0"/>
          <w:numId w:val="12"/>
        </w:numPr>
        <w:snapToGrid w:val="0"/>
        <w:spacing w:before="72" w:beforeLines="30" w:after="72" w:afterLines="30" w:line="288" w:lineRule="auto"/>
        <w:jc w:val="both"/>
        <w:rPr>
          <w:rFonts w:eastAsia="宋体"/>
          <w:i/>
          <w:iCs/>
          <w:szCs w:val="20"/>
        </w:rPr>
      </w:pPr>
      <w:r>
        <w:rPr>
          <w:rFonts w:hint="eastAsia" w:eastAsia="宋体"/>
          <w:i/>
          <w:iCs/>
          <w:szCs w:val="20"/>
        </w:rPr>
        <w:t>Alt-2: The beam report can be carried in the second UL channel in the CC same as or different from the CC where the corresponding CSI report configuration is configured.</w:t>
      </w:r>
    </w:p>
    <w:p>
      <w:pPr>
        <w:numPr>
          <w:ilvl w:val="1"/>
          <w:numId w:val="12"/>
        </w:numPr>
        <w:snapToGrid w:val="0"/>
        <w:spacing w:before="72" w:beforeLines="30" w:after="72" w:afterLines="30" w:line="288" w:lineRule="auto"/>
        <w:jc w:val="both"/>
        <w:rPr>
          <w:rFonts w:eastAsia="宋体"/>
        </w:rPr>
      </w:pPr>
      <w:r>
        <w:rPr>
          <w:rFonts w:hint="eastAsia" w:eastAsia="宋体"/>
          <w:i/>
          <w:iCs/>
          <w:szCs w:val="20"/>
        </w:rPr>
        <w:t>The CSI report configurations for UEIBR configured in different cells can be associated with the same first PUCCH resource.</w:t>
      </w:r>
    </w:p>
    <w:p>
      <w:pPr>
        <w:snapToGrid w:val="0"/>
        <w:spacing w:before="72" w:beforeLines="30" w:after="72" w:afterLines="30" w:line="288" w:lineRule="auto"/>
        <w:jc w:val="both"/>
        <w:rPr>
          <w:rFonts w:eastAsia="宋体"/>
          <w:i/>
          <w:iCs/>
        </w:rPr>
      </w:pPr>
      <w:r>
        <w:rPr>
          <w:rFonts w:hint="eastAsia" w:eastAsia="宋体"/>
          <w:b/>
          <w:bCs/>
          <w:i/>
          <w:iCs/>
        </w:rPr>
        <w:t>Proposal 12:</w:t>
      </w:r>
      <w:r>
        <w:rPr>
          <w:rFonts w:hint="eastAsia" w:eastAsia="宋体"/>
          <w:i/>
          <w:iCs/>
        </w:rPr>
        <w:t xml:space="preserve"> On beam report transmission procedure for UE-initiated/event-driven beam reporting, regarding Event-2, for at least Mode-B, support that multiple CSI report settings for UEIBR configured in the same CC can be associated with a same second UL channel.</w:t>
      </w:r>
    </w:p>
    <w:p>
      <w:pPr>
        <w:numPr>
          <w:ilvl w:val="0"/>
          <w:numId w:val="12"/>
        </w:numPr>
        <w:snapToGrid w:val="0"/>
        <w:spacing w:before="72" w:beforeLines="30" w:after="72" w:afterLines="30" w:line="288" w:lineRule="auto"/>
        <w:jc w:val="both"/>
        <w:rPr>
          <w:rFonts w:eastAsia="宋体"/>
          <w:i/>
          <w:iCs/>
        </w:rPr>
      </w:pPr>
      <w:r>
        <w:rPr>
          <w:rFonts w:hint="eastAsia" w:eastAsia="宋体"/>
          <w:i/>
          <w:iCs/>
        </w:rPr>
        <w:t xml:space="preserve">Note: </w:t>
      </w:r>
      <w:r>
        <w:rPr>
          <w:rFonts w:eastAsia="宋体"/>
          <w:i/>
          <w:iCs/>
        </w:rPr>
        <w:t>T</w:t>
      </w:r>
      <w:r>
        <w:rPr>
          <w:rFonts w:hint="eastAsia" w:eastAsia="宋体"/>
          <w:i/>
          <w:iCs/>
        </w:rPr>
        <w:t xml:space="preserve">he first </w:t>
      </w:r>
      <w:r>
        <w:rPr>
          <w:rFonts w:eastAsia="宋体"/>
          <w:i/>
          <w:iCs/>
        </w:rPr>
        <w:t xml:space="preserve">PUCCH </w:t>
      </w:r>
      <w:r>
        <w:rPr>
          <w:rFonts w:hint="eastAsia" w:eastAsia="宋体"/>
          <w:i/>
          <w:iCs/>
        </w:rPr>
        <w:t>channel can be</w:t>
      </w:r>
      <w:r>
        <w:rPr>
          <w:rFonts w:eastAsia="宋体"/>
          <w:i/>
          <w:iCs/>
        </w:rPr>
        <w:t xml:space="preserve"> from</w:t>
      </w:r>
      <w:r>
        <w:rPr>
          <w:rFonts w:hint="eastAsia" w:eastAsia="宋体"/>
          <w:i/>
          <w:iCs/>
        </w:rPr>
        <w:t xml:space="preserve"> the same </w:t>
      </w:r>
      <w:r>
        <w:rPr>
          <w:rFonts w:eastAsia="宋体"/>
          <w:i/>
          <w:iCs/>
        </w:rPr>
        <w:t xml:space="preserve">as </w:t>
      </w:r>
      <w:r>
        <w:rPr>
          <w:rFonts w:hint="eastAsia" w:eastAsia="宋体"/>
          <w:i/>
          <w:iCs/>
        </w:rPr>
        <w:t xml:space="preserve">or different </w:t>
      </w:r>
      <w:r>
        <w:rPr>
          <w:rFonts w:eastAsia="宋体"/>
          <w:i/>
          <w:iCs/>
        </w:rPr>
        <w:t xml:space="preserve">from the </w:t>
      </w:r>
      <w:r>
        <w:rPr>
          <w:rFonts w:hint="eastAsia" w:eastAsia="宋体"/>
          <w:i/>
          <w:iCs/>
        </w:rPr>
        <w:t>CC</w:t>
      </w:r>
      <w:r>
        <w:rPr>
          <w:rFonts w:eastAsia="宋体"/>
          <w:i/>
          <w:iCs/>
        </w:rPr>
        <w:t xml:space="preserve"> </w:t>
      </w:r>
      <w:r>
        <w:rPr>
          <w:rFonts w:hint="eastAsia" w:eastAsia="宋体"/>
          <w:i/>
          <w:iCs/>
        </w:rPr>
        <w:t>in which the CSI report settings for UEIBR is configured.</w:t>
      </w:r>
    </w:p>
    <w:p>
      <w:pPr>
        <w:snapToGrid w:val="0"/>
        <w:spacing w:before="72" w:beforeLines="30" w:after="72" w:afterLines="30" w:line="288" w:lineRule="auto"/>
        <w:jc w:val="both"/>
        <w:rPr>
          <w:rFonts w:eastAsia="宋体"/>
          <w:i/>
          <w:iCs/>
          <w:szCs w:val="20"/>
        </w:rPr>
      </w:pPr>
      <w:r>
        <w:rPr>
          <w:rFonts w:hint="eastAsia" w:eastAsia="宋体"/>
          <w:b/>
          <w:bCs/>
          <w:i/>
          <w:iCs/>
        </w:rPr>
        <w:t>Proposal 13:</w:t>
      </w:r>
      <w:r>
        <w:rPr>
          <w:rFonts w:hint="eastAsia" w:eastAsia="宋体"/>
          <w:i/>
          <w:iCs/>
        </w:rPr>
        <w:t xml:space="preserve"> On beam report transmission procedure for UE-initiated/event-driven beam reporting in Mode-B, regarding the time gap (i.e., X symbols) in case of Type-1 CG PUSCH is configured as the second UL channel, support to explicitly configure the value of </w:t>
      </w:r>
      <w:r>
        <w:rPr>
          <w:rFonts w:hint="eastAsia" w:eastAsia="宋体"/>
          <w:i/>
          <w:iCs/>
          <w:szCs w:val="20"/>
        </w:rPr>
        <w:t>X.</w:t>
      </w:r>
    </w:p>
    <w:p>
      <w:pPr>
        <w:numPr>
          <w:ilvl w:val="0"/>
          <w:numId w:val="12"/>
        </w:numPr>
        <w:snapToGrid w:val="0"/>
        <w:spacing w:before="72" w:beforeLines="30" w:after="72" w:afterLines="30" w:line="288" w:lineRule="auto"/>
        <w:jc w:val="both"/>
        <w:rPr>
          <w:rFonts w:eastAsia="宋体"/>
          <w:i/>
          <w:iCs/>
        </w:rPr>
      </w:pPr>
      <w:r>
        <w:rPr>
          <w:rFonts w:eastAsia="宋体"/>
          <w:i/>
          <w:iCs/>
        </w:rPr>
        <w:t xml:space="preserve">Note: </w:t>
      </w:r>
      <w:r>
        <w:rPr>
          <w:rFonts w:hint="eastAsia" w:eastAsia="宋体"/>
          <w:i/>
          <w:iCs/>
        </w:rPr>
        <w:t>The time gap can be less than a slot.</w:t>
      </w:r>
    </w:p>
    <w:p>
      <w:pPr>
        <w:numPr>
          <w:ilvl w:val="0"/>
          <w:numId w:val="12"/>
        </w:numPr>
        <w:snapToGrid w:val="0"/>
        <w:spacing w:before="72" w:beforeLines="30" w:after="72" w:afterLines="30" w:line="288" w:lineRule="auto"/>
        <w:jc w:val="both"/>
        <w:rPr>
          <w:rFonts w:eastAsia="宋体"/>
          <w:i/>
          <w:iCs/>
        </w:rPr>
      </w:pPr>
      <w:r>
        <w:rPr>
          <w:rFonts w:hint="eastAsia" w:eastAsia="宋体"/>
          <w:i/>
          <w:iCs/>
        </w:rPr>
        <w:t>FFS: The candidate values of X.</w:t>
      </w:r>
    </w:p>
    <w:p>
      <w:pPr>
        <w:snapToGrid w:val="0"/>
        <w:spacing w:before="72" w:beforeLines="30" w:after="72" w:afterLines="30" w:line="288" w:lineRule="auto"/>
        <w:jc w:val="both"/>
        <w:rPr>
          <w:rFonts w:eastAsia="宋体"/>
          <w:i/>
          <w:iCs/>
        </w:rPr>
      </w:pPr>
      <w:r>
        <w:rPr>
          <w:rFonts w:hint="eastAsia" w:eastAsia="宋体"/>
          <w:b/>
          <w:bCs/>
          <w:i/>
          <w:iCs/>
        </w:rPr>
        <w:t>Proposal 14:</w:t>
      </w:r>
      <w:r>
        <w:rPr>
          <w:rFonts w:hint="eastAsia" w:eastAsia="宋体"/>
          <w:i/>
          <w:iCs/>
        </w:rPr>
        <w:t xml:space="preserve"> On beam report transmission procedure for UE-initiated/event-driven beam reporting, regarding resource mapping/configuration between first and second channel in Mode-B, for a given CSI report configuration, support Option 1-B.</w:t>
      </w:r>
    </w:p>
    <w:p>
      <w:pPr>
        <w:numPr>
          <w:ilvl w:val="0"/>
          <w:numId w:val="12"/>
        </w:numPr>
        <w:snapToGrid w:val="0"/>
        <w:spacing w:before="72" w:beforeLines="30" w:after="72" w:afterLines="30" w:line="288" w:lineRule="auto"/>
        <w:jc w:val="both"/>
        <w:rPr>
          <w:rFonts w:eastAsia="宋体"/>
          <w:i/>
          <w:iCs/>
        </w:rPr>
      </w:pPr>
      <w:r>
        <w:rPr>
          <w:rFonts w:hint="eastAsia" w:eastAsia="宋体"/>
          <w:i/>
          <w:iCs/>
        </w:rPr>
        <w:t>Option-1 (one-to-one): Only one first PUCCH resource and only one pre-configured resource for second UL channel can be associated with the CSI report configuration for UE-initiated/event-driven beam reporting.</w:t>
      </w:r>
    </w:p>
    <w:p>
      <w:pPr>
        <w:numPr>
          <w:ilvl w:val="1"/>
          <w:numId w:val="12"/>
        </w:numPr>
        <w:snapToGrid w:val="0"/>
        <w:spacing w:before="72" w:beforeLines="30" w:after="72" w:afterLines="30" w:line="288" w:lineRule="auto"/>
        <w:jc w:val="both"/>
        <w:rPr>
          <w:rFonts w:eastAsia="宋体"/>
          <w:i/>
          <w:iCs/>
        </w:rPr>
      </w:pPr>
      <w:r>
        <w:rPr>
          <w:rFonts w:hint="eastAsia" w:eastAsia="宋体"/>
          <w:i/>
          <w:iCs/>
        </w:rPr>
        <w:t>Option-1B: No restriction in terms of periodicity.</w:t>
      </w:r>
    </w:p>
    <w:p>
      <w:pPr>
        <w:pStyle w:val="111"/>
        <w:snapToGrid w:val="0"/>
        <w:spacing w:before="72" w:beforeLines="30" w:after="72" w:afterLines="30" w:line="288" w:lineRule="auto"/>
        <w:ind w:left="-20" w:firstLine="0" w:firstLineChars="0"/>
        <w:jc w:val="both"/>
        <w:rPr>
          <w:rFonts w:eastAsia="宋体"/>
          <w:i/>
          <w:iCs/>
        </w:rPr>
      </w:pPr>
      <w:r>
        <w:rPr>
          <w:rFonts w:hint="eastAsia" w:eastAsia="宋体"/>
          <w:b/>
          <w:bCs/>
          <w:i/>
          <w:iCs/>
        </w:rPr>
        <w:t>Proposal 15:</w:t>
      </w:r>
      <w:r>
        <w:rPr>
          <w:rFonts w:hint="eastAsia" w:eastAsia="宋体"/>
          <w:i/>
          <w:iCs/>
        </w:rPr>
        <w:t xml:space="preserve"> On beam report transmission procedure for UE-initiated/event-driven beam reporting, </w:t>
      </w:r>
      <w:r>
        <w:rPr>
          <w:rFonts w:eastAsia="宋体"/>
          <w:i/>
          <w:iCs/>
        </w:rPr>
        <w:t>the RRC parameter of enabling mode-A or mode-B is configured in CSI report configuration.</w:t>
      </w:r>
    </w:p>
    <w:p>
      <w:pPr>
        <w:pStyle w:val="111"/>
        <w:numPr>
          <w:ilvl w:val="0"/>
          <w:numId w:val="12"/>
        </w:numPr>
        <w:snapToGrid w:val="0"/>
        <w:spacing w:before="72" w:beforeLines="30" w:after="72" w:afterLines="30" w:line="288" w:lineRule="auto"/>
        <w:ind w:firstLineChars="0"/>
        <w:jc w:val="both"/>
        <w:rPr>
          <w:rFonts w:eastAsia="宋体"/>
          <w:i/>
          <w:iCs/>
        </w:rPr>
      </w:pPr>
      <w:r>
        <w:rPr>
          <w:rFonts w:eastAsia="宋体"/>
          <w:bCs/>
          <w:i/>
          <w:iCs/>
        </w:rPr>
        <w:t>Note: F</w:t>
      </w:r>
      <w:r>
        <w:rPr>
          <w:rFonts w:eastAsia="宋体"/>
          <w:i/>
          <w:iCs/>
        </w:rPr>
        <w:t>or a given UE, only one mode out of</w:t>
      </w:r>
      <w:r>
        <w:rPr>
          <w:rFonts w:hint="eastAsia" w:eastAsia="宋体"/>
          <w:i/>
          <w:iCs/>
        </w:rPr>
        <w:t xml:space="preserve"> mode-A or mode-B </w:t>
      </w:r>
      <w:r>
        <w:rPr>
          <w:rFonts w:eastAsia="宋体"/>
          <w:i/>
          <w:iCs/>
        </w:rPr>
        <w:t xml:space="preserve">can be enabled </w:t>
      </w:r>
      <w:r>
        <w:rPr>
          <w:rFonts w:hint="eastAsia" w:eastAsia="宋体"/>
          <w:i/>
          <w:iCs/>
        </w:rPr>
        <w:t>at the same time.</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16:</w:t>
      </w:r>
      <w:r>
        <w:rPr>
          <w:rFonts w:hint="eastAsia" w:eastAsia="宋体"/>
          <w:i/>
          <w:iCs/>
        </w:rPr>
        <w:t xml:space="preserve"> Regarding UE initiated beam report triggering procedure based on counting the trigger event instance, consider the following alternatives to reset the time window/counter for the beam report triggering.</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Alt-1: UE </w:t>
      </w:r>
      <w:r>
        <w:rPr>
          <w:rFonts w:hint="eastAsia" w:eastAsia="宋体"/>
          <w:i/>
          <w:iCs/>
        </w:rPr>
        <w:t>resets the time window/counter</w:t>
      </w:r>
      <w:r>
        <w:rPr>
          <w:rFonts w:hint="eastAsia" w:eastAsia="宋体"/>
          <w:i/>
        </w:rPr>
        <w:t xml:space="preserve"> after the UEI beam report is transmitted X times.</w:t>
      </w:r>
    </w:p>
    <w:p>
      <w:pPr>
        <w:numPr>
          <w:ilvl w:val="1"/>
          <w:numId w:val="12"/>
        </w:numPr>
        <w:snapToGrid w:val="0"/>
        <w:spacing w:before="72" w:beforeLines="30" w:after="72" w:afterLines="30" w:line="288" w:lineRule="auto"/>
        <w:jc w:val="both"/>
        <w:rPr>
          <w:rFonts w:eastAsia="宋体"/>
          <w:i/>
        </w:rPr>
      </w:pPr>
      <w:r>
        <w:rPr>
          <w:rFonts w:hint="eastAsia" w:eastAsia="宋体"/>
          <w:i/>
        </w:rPr>
        <w:t>FFS: X is fixed to be 1 or can be configured.</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Alt-2: UE </w:t>
      </w:r>
      <w:r>
        <w:rPr>
          <w:rFonts w:hint="eastAsia" w:eastAsia="宋体"/>
          <w:i/>
          <w:iCs/>
        </w:rPr>
        <w:t xml:space="preserve">resets the time window/counter </w:t>
      </w:r>
      <w:r>
        <w:rPr>
          <w:rFonts w:hint="eastAsia" w:eastAsia="宋体"/>
          <w:i/>
        </w:rPr>
        <w:t>after a NW response is received.</w:t>
      </w:r>
    </w:p>
    <w:p>
      <w:pPr>
        <w:numPr>
          <w:ilvl w:val="1"/>
          <w:numId w:val="12"/>
        </w:numPr>
        <w:snapToGrid w:val="0"/>
        <w:spacing w:before="72" w:beforeLines="30" w:after="72" w:afterLines="30" w:line="288" w:lineRule="auto"/>
        <w:jc w:val="both"/>
        <w:rPr>
          <w:rFonts w:eastAsia="宋体"/>
          <w:i/>
        </w:rPr>
      </w:pPr>
      <w:r>
        <w:rPr>
          <w:rFonts w:hint="eastAsia" w:eastAsia="宋体"/>
          <w:i/>
        </w:rPr>
        <w:t>FFS: The detailed signaling of the NW response.</w:t>
      </w:r>
    </w:p>
    <w:p>
      <w:pPr>
        <w:numPr>
          <w:ilvl w:val="0"/>
          <w:numId w:val="12"/>
        </w:numPr>
        <w:snapToGrid w:val="0"/>
        <w:spacing w:before="72" w:beforeLines="30" w:after="72" w:afterLines="30" w:line="288" w:lineRule="auto"/>
        <w:jc w:val="both"/>
        <w:rPr>
          <w:rFonts w:eastAsia="宋体"/>
          <w:i/>
        </w:rPr>
      </w:pPr>
      <w:r>
        <w:rPr>
          <w:rFonts w:hint="eastAsia" w:eastAsia="宋体"/>
          <w:i/>
        </w:rPr>
        <w:t xml:space="preserve">FFS: Other conditions to reset the </w:t>
      </w:r>
      <w:r>
        <w:rPr>
          <w:rFonts w:hint="eastAsia" w:eastAsia="宋体"/>
          <w:i/>
          <w:iCs/>
        </w:rPr>
        <w:t>time window/counter</w:t>
      </w:r>
      <w:r>
        <w:rPr>
          <w:rFonts w:hint="eastAsia" w:eastAsia="宋体"/>
          <w:i/>
        </w:rPr>
        <w:t>.</w:t>
      </w:r>
    </w:p>
    <w:p>
      <w:pPr>
        <w:snapToGrid w:val="0"/>
        <w:spacing w:before="72" w:beforeLines="30" w:after="72" w:afterLines="30" w:line="288" w:lineRule="auto"/>
        <w:jc w:val="both"/>
        <w:rPr>
          <w:rFonts w:eastAsia="宋体"/>
        </w:rPr>
      </w:pPr>
      <w:r>
        <w:rPr>
          <w:rFonts w:eastAsia="宋体"/>
          <w:b/>
          <w:i/>
          <w:iCs/>
        </w:rPr>
        <w:t>Proposal 1</w:t>
      </w:r>
      <w:r>
        <w:rPr>
          <w:rFonts w:hint="eastAsia" w:eastAsia="宋体"/>
          <w:b/>
          <w:i/>
          <w:iCs/>
        </w:rPr>
        <w:t>7</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bookmarkStart w:id="3" w:name="_GoBack"/>
      <w:bookmarkEnd w:id="3"/>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30"/>
        </w:numPr>
        <w:snapToGrid w:val="0"/>
        <w:spacing w:before="72" w:beforeLines="30" w:after="72" w:afterLines="30" w:line="288" w:lineRule="auto"/>
        <w:jc w:val="both"/>
        <w:rPr>
          <w:bCs/>
          <w:sz w:val="20"/>
          <w:szCs w:val="20"/>
        </w:rPr>
      </w:pPr>
      <w:r>
        <w:rPr>
          <w:bCs/>
          <w:sz w:val="20"/>
          <w:szCs w:val="20"/>
        </w:rPr>
        <w:t>RP-242394, WID revision: NR MIMO Phase 5, Moderator (Samsung)</w:t>
      </w:r>
    </w:p>
    <w:p>
      <w:pPr>
        <w:pStyle w:val="73"/>
        <w:numPr>
          <w:ilvl w:val="0"/>
          <w:numId w:val="30"/>
        </w:numPr>
        <w:snapToGrid w:val="0"/>
        <w:spacing w:before="72" w:beforeLines="30" w:after="72" w:afterLines="30" w:line="288" w:lineRule="auto"/>
        <w:jc w:val="both"/>
        <w:rPr>
          <w:bCs/>
          <w:sz w:val="20"/>
          <w:szCs w:val="20"/>
        </w:rPr>
      </w:pPr>
      <w:r>
        <w:rPr>
          <w:rFonts w:hint="eastAsia"/>
          <w:bCs/>
          <w:sz w:val="20"/>
          <w:szCs w:val="20"/>
        </w:rPr>
        <w:t>Chair notes RAN1#118 eom0, Aug 19</w:t>
      </w:r>
      <w:r>
        <w:rPr>
          <w:rFonts w:hint="eastAsia"/>
          <w:bCs/>
          <w:sz w:val="20"/>
          <w:szCs w:val="20"/>
          <w:vertAlign w:val="superscript"/>
        </w:rPr>
        <w:t>th</w:t>
      </w:r>
      <w:r>
        <w:rPr>
          <w:rFonts w:hint="eastAsia"/>
          <w:bCs/>
          <w:sz w:val="20"/>
          <w:szCs w:val="20"/>
        </w:rPr>
        <w:t xml:space="preserve"> - 23</w:t>
      </w:r>
      <w:r>
        <w:rPr>
          <w:rFonts w:hint="eastAsia"/>
          <w:bCs/>
          <w:sz w:val="20"/>
          <w:szCs w:val="20"/>
          <w:vertAlign w:val="superscript"/>
        </w:rPr>
        <w:t>rd</w:t>
      </w:r>
      <w:r>
        <w:rPr>
          <w:rFonts w:hint="eastAsia"/>
          <w:bCs/>
          <w:sz w:val="20"/>
          <w:szCs w:val="20"/>
        </w:rPr>
        <w:t>, 2024, 3GPP RAN1</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A2B2C9BB"/>
    <w:multiLevelType w:val="multilevel"/>
    <w:tmpl w:val="A2B2C9BB"/>
    <w:lvl w:ilvl="0" w:tentative="0">
      <w:start w:val="0"/>
      <w:numFmt w:val="bullet"/>
      <w:lvlText w:val="-"/>
      <w:lvlJc w:val="left"/>
      <w:pPr>
        <w:tabs>
          <w:tab w:val="left" w:pos="0"/>
        </w:tabs>
        <w:ind w:left="720" w:hanging="360"/>
      </w:pPr>
      <w:rPr>
        <w:rFonts w:hint="default" w:ascii="Times New Roman" w:hAnsi="Times New Roman" w:eastAsia="宋体"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
    <w:nsid w:val="ABF7D011"/>
    <w:multiLevelType w:val="multilevel"/>
    <w:tmpl w:val="ABF7D011"/>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Batang"/>
      </w:rPr>
    </w:lvl>
    <w:lvl w:ilvl="2" w:tentative="0">
      <w:start w:val="1"/>
      <w:numFmt w:val="bullet"/>
      <w:lvlText w:val=""/>
      <w:lvlJc w:val="left"/>
      <w:pPr>
        <w:tabs>
          <w:tab w:val="left" w:pos="-420"/>
        </w:tabs>
        <w:ind w:left="1180" w:hanging="400"/>
      </w:pPr>
      <w:rPr>
        <w:rFonts w:hint="default" w:ascii="Wingdings" w:hAnsi="Wingdings" w:cs="Symbol"/>
      </w:rPr>
    </w:lvl>
    <w:lvl w:ilvl="3" w:tentative="0">
      <w:start w:val="1"/>
      <w:numFmt w:val="bullet"/>
      <w:lvlText w:val=""/>
      <w:lvlJc w:val="left"/>
      <w:pPr>
        <w:tabs>
          <w:tab w:val="left" w:pos="-420"/>
        </w:tabs>
        <w:ind w:left="1580" w:hanging="400"/>
      </w:pPr>
      <w:rPr>
        <w:rFonts w:hint="default" w:ascii="Symbol" w:hAnsi="Symbol" w:cs="Malgun Gothic"/>
      </w:rPr>
    </w:lvl>
    <w:lvl w:ilvl="4" w:tentative="0">
      <w:start w:val="1"/>
      <w:numFmt w:val="bullet"/>
      <w:lvlText w:val="­"/>
      <w:lvlJc w:val="left"/>
      <w:pPr>
        <w:tabs>
          <w:tab w:val="left" w:pos="-420"/>
        </w:tabs>
        <w:ind w:left="2551" w:hanging="971"/>
      </w:pPr>
      <w:rPr>
        <w:rFonts w:hint="default" w:ascii="Times New Roman" w:hAnsi="Times New Roman" w:cs="微软雅黑"/>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3">
    <w:nsid w:val="B74B4137"/>
    <w:multiLevelType w:val="multilevel"/>
    <w:tmpl w:val="B74B4137"/>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4">
    <w:nsid w:val="B8AC6206"/>
    <w:multiLevelType w:val="multilevel"/>
    <w:tmpl w:val="B8AC6206"/>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o"/>
      <w:lvlJc w:val="left"/>
      <w:pPr>
        <w:tabs>
          <w:tab w:val="left" w:pos="-420"/>
        </w:tabs>
        <w:ind w:left="1980" w:hanging="400"/>
      </w:pPr>
      <w:rPr>
        <w:rFonts w:hint="default" w:ascii="Courier New" w:hAnsi="Courier New" w:cs="Courier New"/>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5">
    <w:nsid w:val="DC2774A7"/>
    <w:multiLevelType w:val="multilevel"/>
    <w:tmpl w:val="DC2774A7"/>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6">
    <w:nsid w:val="010666D0"/>
    <w:multiLevelType w:val="multilevel"/>
    <w:tmpl w:val="010666D0"/>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30C6F17"/>
    <w:multiLevelType w:val="multilevel"/>
    <w:tmpl w:val="030C6F17"/>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9">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BD04539"/>
    <w:multiLevelType w:val="singleLevel"/>
    <w:tmpl w:val="1BD04539"/>
    <w:lvl w:ilvl="0" w:tentative="0">
      <w:start w:val="1"/>
      <w:numFmt w:val="bullet"/>
      <w:lvlText w:val=""/>
      <w:lvlJc w:val="left"/>
      <w:pPr>
        <w:tabs>
          <w:tab w:val="left" w:pos="840"/>
        </w:tabs>
        <w:ind w:left="820" w:hanging="420"/>
      </w:pPr>
      <w:rPr>
        <w:rFonts w:hint="default" w:ascii="Wingdings" w:hAnsi="Wingdings"/>
      </w:rPr>
    </w:lvl>
  </w:abstractNum>
  <w:abstractNum w:abstractNumId="11">
    <w:nsid w:val="259F049D"/>
    <w:multiLevelType w:val="multilevel"/>
    <w:tmpl w:val="259F049D"/>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2DCFCC2C"/>
    <w:multiLevelType w:val="multilevel"/>
    <w:tmpl w:val="2DCFCC2C"/>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4">
    <w:nsid w:val="2ED15621"/>
    <w:multiLevelType w:val="multilevel"/>
    <w:tmpl w:val="2ED156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8C761E6"/>
    <w:multiLevelType w:val="multilevel"/>
    <w:tmpl w:val="38C761E6"/>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3BBC497C"/>
    <w:multiLevelType w:val="multilevel"/>
    <w:tmpl w:val="3BBC49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3FF330A8"/>
    <w:multiLevelType w:val="multilevel"/>
    <w:tmpl w:val="3FF330A8"/>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Batang"/>
      </w:rPr>
    </w:lvl>
    <w:lvl w:ilvl="2" w:tentative="0">
      <w:start w:val="1"/>
      <w:numFmt w:val="bullet"/>
      <w:lvlText w:val=""/>
      <w:lvlJc w:val="left"/>
      <w:pPr>
        <w:tabs>
          <w:tab w:val="left" w:pos="-420"/>
        </w:tabs>
        <w:ind w:left="1180" w:hanging="400"/>
      </w:pPr>
      <w:rPr>
        <w:rFonts w:hint="default" w:ascii="Wingdings" w:hAnsi="Wingdings" w:cs="Symbol"/>
      </w:rPr>
    </w:lvl>
    <w:lvl w:ilvl="3" w:tentative="0">
      <w:start w:val="1"/>
      <w:numFmt w:val="bullet"/>
      <w:lvlText w:val=""/>
      <w:lvlJc w:val="left"/>
      <w:pPr>
        <w:tabs>
          <w:tab w:val="left" w:pos="-420"/>
        </w:tabs>
        <w:ind w:left="1580" w:hanging="400"/>
      </w:pPr>
      <w:rPr>
        <w:rFonts w:hint="default" w:ascii="Symbol" w:hAnsi="Symbol" w:cs="Malgun Gothic"/>
      </w:rPr>
    </w:lvl>
    <w:lvl w:ilvl="4" w:tentative="0">
      <w:start w:val="1"/>
      <w:numFmt w:val="bullet"/>
      <w:lvlText w:val="­"/>
      <w:lvlJc w:val="left"/>
      <w:pPr>
        <w:tabs>
          <w:tab w:val="left" w:pos="-420"/>
        </w:tabs>
        <w:ind w:left="2551" w:hanging="971"/>
      </w:pPr>
      <w:rPr>
        <w:rFonts w:hint="default" w:ascii="Times New Roman" w:hAnsi="Times New Roman" w:cs="微软雅黑"/>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8">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9">
    <w:nsid w:val="477788D8"/>
    <w:multiLevelType w:val="singleLevel"/>
    <w:tmpl w:val="477788D8"/>
    <w:lvl w:ilvl="0" w:tentative="0">
      <w:start w:val="1"/>
      <w:numFmt w:val="bullet"/>
      <w:lvlText w:val=""/>
      <w:lvlJc w:val="left"/>
      <w:pPr>
        <w:tabs>
          <w:tab w:val="left" w:pos="1260"/>
        </w:tabs>
        <w:ind w:left="1680" w:hanging="420"/>
      </w:pPr>
      <w:rPr>
        <w:rFonts w:hint="default" w:ascii="Wingdings" w:hAnsi="Wingdings"/>
      </w:rPr>
    </w:lvl>
  </w:abstractNum>
  <w:abstractNum w:abstractNumId="20">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21">
    <w:nsid w:val="5102066C"/>
    <w:multiLevelType w:val="multilevel"/>
    <w:tmpl w:val="5102066C"/>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22">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3">
    <w:nsid w:val="5E93823A"/>
    <w:multiLevelType w:val="singleLevel"/>
    <w:tmpl w:val="5E93823A"/>
    <w:lvl w:ilvl="0" w:tentative="0">
      <w:start w:val="1"/>
      <w:numFmt w:val="decimal"/>
      <w:suff w:val="space"/>
      <w:lvlText w:val="[%1]"/>
      <w:lvlJc w:val="left"/>
    </w:lvl>
  </w:abstractNum>
  <w:abstractNum w:abstractNumId="24">
    <w:nsid w:val="6333704C"/>
    <w:multiLevelType w:val="multilevel"/>
    <w:tmpl w:val="633370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A17B61"/>
    <w:multiLevelType w:val="multilevel"/>
    <w:tmpl w:val="78A17B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9">
    <w:nsid w:val="7B500047"/>
    <w:multiLevelType w:val="multilevel"/>
    <w:tmpl w:val="7B500047"/>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7"/>
  </w:num>
  <w:num w:numId="3">
    <w:abstractNumId w:val="27"/>
  </w:num>
  <w:num w:numId="4">
    <w:abstractNumId w:val="9"/>
  </w:num>
  <w:num w:numId="5">
    <w:abstractNumId w:val="26"/>
  </w:num>
  <w:num w:numId="6">
    <w:abstractNumId w:val="20"/>
  </w:num>
  <w:num w:numId="7">
    <w:abstractNumId w:val="12"/>
  </w:num>
  <w:num w:numId="8">
    <w:abstractNumId w:val="25"/>
  </w:num>
  <w:num w:numId="9">
    <w:abstractNumId w:val="2"/>
  </w:num>
  <w:num w:numId="10">
    <w:abstractNumId w:val="1"/>
  </w:num>
  <w:num w:numId="11">
    <w:abstractNumId w:val="17"/>
  </w:num>
  <w:num w:numId="12">
    <w:abstractNumId w:val="18"/>
  </w:num>
  <w:num w:numId="13">
    <w:abstractNumId w:val="14"/>
  </w:num>
  <w:num w:numId="14">
    <w:abstractNumId w:val="22"/>
  </w:num>
  <w:num w:numId="15">
    <w:abstractNumId w:val="29"/>
  </w:num>
  <w:num w:numId="16">
    <w:abstractNumId w:val="6"/>
  </w:num>
  <w:num w:numId="17">
    <w:abstractNumId w:val="11"/>
  </w:num>
  <w:num w:numId="18">
    <w:abstractNumId w:val="15"/>
  </w:num>
  <w:num w:numId="19">
    <w:abstractNumId w:val="21"/>
  </w:num>
  <w:num w:numId="20">
    <w:abstractNumId w:val="13"/>
  </w:num>
  <w:num w:numId="21">
    <w:abstractNumId w:val="16"/>
  </w:num>
  <w:num w:numId="22">
    <w:abstractNumId w:val="24"/>
  </w:num>
  <w:num w:numId="23">
    <w:abstractNumId w:val="28"/>
  </w:num>
  <w:num w:numId="24">
    <w:abstractNumId w:val="10"/>
  </w:num>
  <w:num w:numId="25">
    <w:abstractNumId w:val="5"/>
  </w:num>
  <w:num w:numId="26">
    <w:abstractNumId w:val="4"/>
  </w:num>
  <w:num w:numId="27">
    <w:abstractNumId w:val="19"/>
  </w:num>
  <w:num w:numId="28">
    <w:abstractNumId w:val="3"/>
  </w:num>
  <w:num w:numId="29">
    <w:abstractNumId w:val="8"/>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AC7"/>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514"/>
    <w:rsid w:val="00162793"/>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3"/>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F8"/>
    <w:rsid w:val="00320907"/>
    <w:rsid w:val="00320CF6"/>
    <w:rsid w:val="0032146D"/>
    <w:rsid w:val="00321492"/>
    <w:rsid w:val="003214CC"/>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D6D"/>
    <w:rsid w:val="005374DD"/>
    <w:rsid w:val="00537548"/>
    <w:rsid w:val="00537AF1"/>
    <w:rsid w:val="00537F99"/>
    <w:rsid w:val="00537FE8"/>
    <w:rsid w:val="00540016"/>
    <w:rsid w:val="00540480"/>
    <w:rsid w:val="00540678"/>
    <w:rsid w:val="005408DF"/>
    <w:rsid w:val="00540A70"/>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EF0"/>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5AB"/>
    <w:rsid w:val="00911D02"/>
    <w:rsid w:val="00911EFA"/>
    <w:rsid w:val="00911F61"/>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0E5"/>
    <w:rsid w:val="00BC1AE1"/>
    <w:rsid w:val="00BC1D7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EA1"/>
    <w:rsid w:val="00C1102F"/>
    <w:rsid w:val="00C115D4"/>
    <w:rsid w:val="00C11607"/>
    <w:rsid w:val="00C11611"/>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36B"/>
    <w:rsid w:val="00C947DC"/>
    <w:rsid w:val="00C94B4B"/>
    <w:rsid w:val="00C94C24"/>
    <w:rsid w:val="00C94DC0"/>
    <w:rsid w:val="00C94E00"/>
    <w:rsid w:val="00C950DC"/>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4E74"/>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E0BE9"/>
    <w:rsid w:val="016847E7"/>
    <w:rsid w:val="016A311A"/>
    <w:rsid w:val="0180023D"/>
    <w:rsid w:val="01816CD0"/>
    <w:rsid w:val="018F1416"/>
    <w:rsid w:val="01AB094A"/>
    <w:rsid w:val="01AE21DC"/>
    <w:rsid w:val="01B306E4"/>
    <w:rsid w:val="01C726DD"/>
    <w:rsid w:val="01D27A5F"/>
    <w:rsid w:val="01DB4A64"/>
    <w:rsid w:val="01DE0134"/>
    <w:rsid w:val="01E81A27"/>
    <w:rsid w:val="01F37365"/>
    <w:rsid w:val="01F9714C"/>
    <w:rsid w:val="02004B2C"/>
    <w:rsid w:val="0201766A"/>
    <w:rsid w:val="020E5459"/>
    <w:rsid w:val="021350B8"/>
    <w:rsid w:val="02151F95"/>
    <w:rsid w:val="02165CD7"/>
    <w:rsid w:val="021C2098"/>
    <w:rsid w:val="02274CF6"/>
    <w:rsid w:val="022A4AA1"/>
    <w:rsid w:val="022D5333"/>
    <w:rsid w:val="022E47B0"/>
    <w:rsid w:val="02320E86"/>
    <w:rsid w:val="02434112"/>
    <w:rsid w:val="02510CD1"/>
    <w:rsid w:val="02554999"/>
    <w:rsid w:val="02565169"/>
    <w:rsid w:val="02574326"/>
    <w:rsid w:val="025B75F9"/>
    <w:rsid w:val="02686A76"/>
    <w:rsid w:val="026D0BFF"/>
    <w:rsid w:val="02762CB4"/>
    <w:rsid w:val="02767EF6"/>
    <w:rsid w:val="02795ABF"/>
    <w:rsid w:val="027F75CB"/>
    <w:rsid w:val="028326B0"/>
    <w:rsid w:val="02874D3F"/>
    <w:rsid w:val="028C4EAA"/>
    <w:rsid w:val="028F54C1"/>
    <w:rsid w:val="029B47FF"/>
    <w:rsid w:val="02A01AB0"/>
    <w:rsid w:val="02B017EB"/>
    <w:rsid w:val="02B2265C"/>
    <w:rsid w:val="02B34E07"/>
    <w:rsid w:val="02DC5D29"/>
    <w:rsid w:val="02E67121"/>
    <w:rsid w:val="02E818F1"/>
    <w:rsid w:val="02EE6889"/>
    <w:rsid w:val="02EF20CB"/>
    <w:rsid w:val="02FF5491"/>
    <w:rsid w:val="030671BF"/>
    <w:rsid w:val="030F5EB8"/>
    <w:rsid w:val="031A28FB"/>
    <w:rsid w:val="031B3D3A"/>
    <w:rsid w:val="031B4B18"/>
    <w:rsid w:val="032063E6"/>
    <w:rsid w:val="032542BC"/>
    <w:rsid w:val="0329798B"/>
    <w:rsid w:val="03300F14"/>
    <w:rsid w:val="03382F46"/>
    <w:rsid w:val="033A53C5"/>
    <w:rsid w:val="033D46E5"/>
    <w:rsid w:val="033E0F4D"/>
    <w:rsid w:val="03413583"/>
    <w:rsid w:val="03460D15"/>
    <w:rsid w:val="035137AF"/>
    <w:rsid w:val="03566CCD"/>
    <w:rsid w:val="0362687D"/>
    <w:rsid w:val="03653EA6"/>
    <w:rsid w:val="03680B2B"/>
    <w:rsid w:val="037C375A"/>
    <w:rsid w:val="037C3EB8"/>
    <w:rsid w:val="037C5BED"/>
    <w:rsid w:val="037F384C"/>
    <w:rsid w:val="038317D7"/>
    <w:rsid w:val="03871F70"/>
    <w:rsid w:val="038D5783"/>
    <w:rsid w:val="03915486"/>
    <w:rsid w:val="03A528F7"/>
    <w:rsid w:val="03AE2B70"/>
    <w:rsid w:val="03B030F7"/>
    <w:rsid w:val="03C06834"/>
    <w:rsid w:val="03C200B6"/>
    <w:rsid w:val="03C61C73"/>
    <w:rsid w:val="03D81924"/>
    <w:rsid w:val="03E9024B"/>
    <w:rsid w:val="03E925DE"/>
    <w:rsid w:val="03EF321E"/>
    <w:rsid w:val="03F638B5"/>
    <w:rsid w:val="03F9591D"/>
    <w:rsid w:val="03FA7708"/>
    <w:rsid w:val="042052D0"/>
    <w:rsid w:val="042B188D"/>
    <w:rsid w:val="042C103D"/>
    <w:rsid w:val="04314521"/>
    <w:rsid w:val="04322C7E"/>
    <w:rsid w:val="04354149"/>
    <w:rsid w:val="043A302C"/>
    <w:rsid w:val="043B4D0A"/>
    <w:rsid w:val="043F479D"/>
    <w:rsid w:val="04515159"/>
    <w:rsid w:val="045257BD"/>
    <w:rsid w:val="045453B9"/>
    <w:rsid w:val="0461297F"/>
    <w:rsid w:val="04621E05"/>
    <w:rsid w:val="04670D81"/>
    <w:rsid w:val="0469481A"/>
    <w:rsid w:val="04694EAC"/>
    <w:rsid w:val="046A03D5"/>
    <w:rsid w:val="046C35A2"/>
    <w:rsid w:val="046D4D77"/>
    <w:rsid w:val="04757AF8"/>
    <w:rsid w:val="04804D9D"/>
    <w:rsid w:val="04852804"/>
    <w:rsid w:val="048C40B9"/>
    <w:rsid w:val="048E35DC"/>
    <w:rsid w:val="0492209E"/>
    <w:rsid w:val="049406C4"/>
    <w:rsid w:val="04B345F7"/>
    <w:rsid w:val="04B62530"/>
    <w:rsid w:val="04BE7DD0"/>
    <w:rsid w:val="04C174A0"/>
    <w:rsid w:val="04C80C0B"/>
    <w:rsid w:val="04CD0148"/>
    <w:rsid w:val="04EB3650"/>
    <w:rsid w:val="04F915E5"/>
    <w:rsid w:val="05081EC1"/>
    <w:rsid w:val="050D0125"/>
    <w:rsid w:val="050E5D22"/>
    <w:rsid w:val="051B02F6"/>
    <w:rsid w:val="052B2B3D"/>
    <w:rsid w:val="053928E3"/>
    <w:rsid w:val="054445DB"/>
    <w:rsid w:val="05476A62"/>
    <w:rsid w:val="05522F5A"/>
    <w:rsid w:val="05565CC7"/>
    <w:rsid w:val="055A06C9"/>
    <w:rsid w:val="05644CA9"/>
    <w:rsid w:val="056B33A0"/>
    <w:rsid w:val="05702DF2"/>
    <w:rsid w:val="05722647"/>
    <w:rsid w:val="05733EFD"/>
    <w:rsid w:val="057974C3"/>
    <w:rsid w:val="05873D06"/>
    <w:rsid w:val="058A745F"/>
    <w:rsid w:val="058D2653"/>
    <w:rsid w:val="0591460E"/>
    <w:rsid w:val="05924C0F"/>
    <w:rsid w:val="05930449"/>
    <w:rsid w:val="05A11E98"/>
    <w:rsid w:val="05A40B90"/>
    <w:rsid w:val="05AB6C7C"/>
    <w:rsid w:val="05B56F8C"/>
    <w:rsid w:val="05C06E8C"/>
    <w:rsid w:val="05C154CA"/>
    <w:rsid w:val="05C70721"/>
    <w:rsid w:val="05C73603"/>
    <w:rsid w:val="05CF1D27"/>
    <w:rsid w:val="05E43649"/>
    <w:rsid w:val="05EA3121"/>
    <w:rsid w:val="05EB37CA"/>
    <w:rsid w:val="05EF39F0"/>
    <w:rsid w:val="05F3473B"/>
    <w:rsid w:val="06073C3A"/>
    <w:rsid w:val="06093003"/>
    <w:rsid w:val="060D79A1"/>
    <w:rsid w:val="060E00E0"/>
    <w:rsid w:val="06143284"/>
    <w:rsid w:val="06197729"/>
    <w:rsid w:val="0622111A"/>
    <w:rsid w:val="06257099"/>
    <w:rsid w:val="0632692A"/>
    <w:rsid w:val="064244D9"/>
    <w:rsid w:val="06511ACC"/>
    <w:rsid w:val="06564BA4"/>
    <w:rsid w:val="06680D11"/>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336C5F"/>
    <w:rsid w:val="07407D82"/>
    <w:rsid w:val="07470651"/>
    <w:rsid w:val="074F79E7"/>
    <w:rsid w:val="075815C4"/>
    <w:rsid w:val="07696AEB"/>
    <w:rsid w:val="07934010"/>
    <w:rsid w:val="07973398"/>
    <w:rsid w:val="079D12CF"/>
    <w:rsid w:val="07A46BE4"/>
    <w:rsid w:val="07AE7932"/>
    <w:rsid w:val="07B814E5"/>
    <w:rsid w:val="07BB14B4"/>
    <w:rsid w:val="07C53A3F"/>
    <w:rsid w:val="07C672EA"/>
    <w:rsid w:val="07CE07C9"/>
    <w:rsid w:val="07CF4805"/>
    <w:rsid w:val="07D013A8"/>
    <w:rsid w:val="07D26BE7"/>
    <w:rsid w:val="07D57135"/>
    <w:rsid w:val="07D648D8"/>
    <w:rsid w:val="07DD40F6"/>
    <w:rsid w:val="07DF5024"/>
    <w:rsid w:val="07E22A7A"/>
    <w:rsid w:val="07FD44E9"/>
    <w:rsid w:val="0805407D"/>
    <w:rsid w:val="08091E07"/>
    <w:rsid w:val="080F78BF"/>
    <w:rsid w:val="08127126"/>
    <w:rsid w:val="08132E8B"/>
    <w:rsid w:val="081D706E"/>
    <w:rsid w:val="082716BD"/>
    <w:rsid w:val="08292EF0"/>
    <w:rsid w:val="08354EC7"/>
    <w:rsid w:val="08453F53"/>
    <w:rsid w:val="08492D22"/>
    <w:rsid w:val="085066C7"/>
    <w:rsid w:val="0852564D"/>
    <w:rsid w:val="085D519A"/>
    <w:rsid w:val="086378F2"/>
    <w:rsid w:val="086D1BC3"/>
    <w:rsid w:val="08706B4B"/>
    <w:rsid w:val="087E5043"/>
    <w:rsid w:val="0882323D"/>
    <w:rsid w:val="08862464"/>
    <w:rsid w:val="088B79C8"/>
    <w:rsid w:val="08943D4D"/>
    <w:rsid w:val="08A97F00"/>
    <w:rsid w:val="08CB03A1"/>
    <w:rsid w:val="08CE61CB"/>
    <w:rsid w:val="08D2064E"/>
    <w:rsid w:val="08D26ECF"/>
    <w:rsid w:val="08D80BC6"/>
    <w:rsid w:val="08E346E3"/>
    <w:rsid w:val="08F44BC5"/>
    <w:rsid w:val="08FA203B"/>
    <w:rsid w:val="08FF221F"/>
    <w:rsid w:val="090A5EB9"/>
    <w:rsid w:val="091467A3"/>
    <w:rsid w:val="0923103D"/>
    <w:rsid w:val="09273B58"/>
    <w:rsid w:val="093A1D12"/>
    <w:rsid w:val="093A51B7"/>
    <w:rsid w:val="09430F9C"/>
    <w:rsid w:val="094B14E7"/>
    <w:rsid w:val="095017F1"/>
    <w:rsid w:val="0950242B"/>
    <w:rsid w:val="095256C8"/>
    <w:rsid w:val="09664D4F"/>
    <w:rsid w:val="096807A5"/>
    <w:rsid w:val="096E14E8"/>
    <w:rsid w:val="0970282E"/>
    <w:rsid w:val="09706B8E"/>
    <w:rsid w:val="09726166"/>
    <w:rsid w:val="097317EC"/>
    <w:rsid w:val="09755A16"/>
    <w:rsid w:val="09821F29"/>
    <w:rsid w:val="09891959"/>
    <w:rsid w:val="09892EFB"/>
    <w:rsid w:val="09964D40"/>
    <w:rsid w:val="09A6541D"/>
    <w:rsid w:val="09AB29D4"/>
    <w:rsid w:val="09C43F96"/>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D3BF5"/>
    <w:rsid w:val="0A822B77"/>
    <w:rsid w:val="0A934843"/>
    <w:rsid w:val="0A980D85"/>
    <w:rsid w:val="0A9B0FD5"/>
    <w:rsid w:val="0A9E4A8D"/>
    <w:rsid w:val="0A9F2012"/>
    <w:rsid w:val="0AAA6D9C"/>
    <w:rsid w:val="0AAF1297"/>
    <w:rsid w:val="0AAF64F9"/>
    <w:rsid w:val="0AB15DD5"/>
    <w:rsid w:val="0AB53627"/>
    <w:rsid w:val="0AB6376C"/>
    <w:rsid w:val="0ACE1EAB"/>
    <w:rsid w:val="0AE1593F"/>
    <w:rsid w:val="0AE57C7B"/>
    <w:rsid w:val="0AE65CB9"/>
    <w:rsid w:val="0AE71F9A"/>
    <w:rsid w:val="0AE7556B"/>
    <w:rsid w:val="0AE96B11"/>
    <w:rsid w:val="0AEA7351"/>
    <w:rsid w:val="0AED2D1C"/>
    <w:rsid w:val="0AF13EE3"/>
    <w:rsid w:val="0AF5210A"/>
    <w:rsid w:val="0AFA09C9"/>
    <w:rsid w:val="0AFD09EB"/>
    <w:rsid w:val="0AFF05E6"/>
    <w:rsid w:val="0B040EDB"/>
    <w:rsid w:val="0B07538C"/>
    <w:rsid w:val="0B0F03B9"/>
    <w:rsid w:val="0B1338B8"/>
    <w:rsid w:val="0B1A274D"/>
    <w:rsid w:val="0B227BC7"/>
    <w:rsid w:val="0B254ED4"/>
    <w:rsid w:val="0B2B6D2A"/>
    <w:rsid w:val="0B2D5BF1"/>
    <w:rsid w:val="0B2E5D46"/>
    <w:rsid w:val="0B3A4E5B"/>
    <w:rsid w:val="0B426855"/>
    <w:rsid w:val="0B4D18CB"/>
    <w:rsid w:val="0B5155A0"/>
    <w:rsid w:val="0B536C32"/>
    <w:rsid w:val="0B5823AA"/>
    <w:rsid w:val="0B595FAD"/>
    <w:rsid w:val="0B650176"/>
    <w:rsid w:val="0B6D6ABE"/>
    <w:rsid w:val="0B6E0FF5"/>
    <w:rsid w:val="0B7646AE"/>
    <w:rsid w:val="0B7E6BA1"/>
    <w:rsid w:val="0B827907"/>
    <w:rsid w:val="0B8C4C1A"/>
    <w:rsid w:val="0B9549DB"/>
    <w:rsid w:val="0B9D13EC"/>
    <w:rsid w:val="0BA07E46"/>
    <w:rsid w:val="0BA77B0E"/>
    <w:rsid w:val="0BAB6C9C"/>
    <w:rsid w:val="0BAE32C3"/>
    <w:rsid w:val="0BB25D40"/>
    <w:rsid w:val="0BB56784"/>
    <w:rsid w:val="0BB62097"/>
    <w:rsid w:val="0BC032D6"/>
    <w:rsid w:val="0BC10793"/>
    <w:rsid w:val="0BCD270E"/>
    <w:rsid w:val="0BDB1E35"/>
    <w:rsid w:val="0BDB6546"/>
    <w:rsid w:val="0BE0571E"/>
    <w:rsid w:val="0BE32529"/>
    <w:rsid w:val="0BE34FBA"/>
    <w:rsid w:val="0BF77A37"/>
    <w:rsid w:val="0C005070"/>
    <w:rsid w:val="0C0A437F"/>
    <w:rsid w:val="0C144470"/>
    <w:rsid w:val="0C195365"/>
    <w:rsid w:val="0C1A6BD3"/>
    <w:rsid w:val="0C1D70C9"/>
    <w:rsid w:val="0C3314C7"/>
    <w:rsid w:val="0C346F0A"/>
    <w:rsid w:val="0C6170AA"/>
    <w:rsid w:val="0C65483D"/>
    <w:rsid w:val="0C6F4E58"/>
    <w:rsid w:val="0C76751C"/>
    <w:rsid w:val="0CB57ACB"/>
    <w:rsid w:val="0CBC2227"/>
    <w:rsid w:val="0CDA09F1"/>
    <w:rsid w:val="0CE30760"/>
    <w:rsid w:val="0CE33205"/>
    <w:rsid w:val="0CEA5470"/>
    <w:rsid w:val="0CEC10A4"/>
    <w:rsid w:val="0CFB1DB9"/>
    <w:rsid w:val="0D103D70"/>
    <w:rsid w:val="0D126109"/>
    <w:rsid w:val="0D220294"/>
    <w:rsid w:val="0D233EDD"/>
    <w:rsid w:val="0D234E23"/>
    <w:rsid w:val="0D283356"/>
    <w:rsid w:val="0D3A4A42"/>
    <w:rsid w:val="0D3C2425"/>
    <w:rsid w:val="0D5773D6"/>
    <w:rsid w:val="0D594DB6"/>
    <w:rsid w:val="0D632B1E"/>
    <w:rsid w:val="0D6E771D"/>
    <w:rsid w:val="0D6F51DA"/>
    <w:rsid w:val="0D733852"/>
    <w:rsid w:val="0D7D7848"/>
    <w:rsid w:val="0D80206A"/>
    <w:rsid w:val="0D8E173E"/>
    <w:rsid w:val="0D9925C9"/>
    <w:rsid w:val="0D9C1B3D"/>
    <w:rsid w:val="0DA10A04"/>
    <w:rsid w:val="0DA80F7D"/>
    <w:rsid w:val="0DA86A24"/>
    <w:rsid w:val="0DD74FA9"/>
    <w:rsid w:val="0DE3413F"/>
    <w:rsid w:val="0DEF72C6"/>
    <w:rsid w:val="0DF13B47"/>
    <w:rsid w:val="0DFB316A"/>
    <w:rsid w:val="0E060B31"/>
    <w:rsid w:val="0E0A5187"/>
    <w:rsid w:val="0E1B62B8"/>
    <w:rsid w:val="0E2B2DB9"/>
    <w:rsid w:val="0E316BA2"/>
    <w:rsid w:val="0E332166"/>
    <w:rsid w:val="0E3917FF"/>
    <w:rsid w:val="0E3F492F"/>
    <w:rsid w:val="0E613656"/>
    <w:rsid w:val="0E72787E"/>
    <w:rsid w:val="0E75475C"/>
    <w:rsid w:val="0E7F1356"/>
    <w:rsid w:val="0E800889"/>
    <w:rsid w:val="0E86024B"/>
    <w:rsid w:val="0E983A75"/>
    <w:rsid w:val="0E9D13F3"/>
    <w:rsid w:val="0E9F5739"/>
    <w:rsid w:val="0EAB569D"/>
    <w:rsid w:val="0EB96849"/>
    <w:rsid w:val="0EBA6C3E"/>
    <w:rsid w:val="0EC3008E"/>
    <w:rsid w:val="0ECA6FA0"/>
    <w:rsid w:val="0ED957E2"/>
    <w:rsid w:val="0EDB339F"/>
    <w:rsid w:val="0EDF3395"/>
    <w:rsid w:val="0EE55D65"/>
    <w:rsid w:val="0EF2082E"/>
    <w:rsid w:val="0EF5454E"/>
    <w:rsid w:val="0F0F7C45"/>
    <w:rsid w:val="0F125211"/>
    <w:rsid w:val="0F152A9D"/>
    <w:rsid w:val="0F1E6D2F"/>
    <w:rsid w:val="0F1E7B0D"/>
    <w:rsid w:val="0F256C49"/>
    <w:rsid w:val="0F2A7AC4"/>
    <w:rsid w:val="0F381616"/>
    <w:rsid w:val="0F5074B0"/>
    <w:rsid w:val="0F605D69"/>
    <w:rsid w:val="0F62047F"/>
    <w:rsid w:val="0F647A44"/>
    <w:rsid w:val="0F672523"/>
    <w:rsid w:val="0F6A4DD3"/>
    <w:rsid w:val="0F6B41F3"/>
    <w:rsid w:val="0F6C3733"/>
    <w:rsid w:val="0F7A2097"/>
    <w:rsid w:val="0F7F1100"/>
    <w:rsid w:val="0F816B6A"/>
    <w:rsid w:val="0F82210C"/>
    <w:rsid w:val="0F8C13B9"/>
    <w:rsid w:val="0F943438"/>
    <w:rsid w:val="0F950757"/>
    <w:rsid w:val="0F9910EF"/>
    <w:rsid w:val="0FA023BF"/>
    <w:rsid w:val="0FA12732"/>
    <w:rsid w:val="0FA36B70"/>
    <w:rsid w:val="0FA37671"/>
    <w:rsid w:val="0FAC2C6D"/>
    <w:rsid w:val="0FB70395"/>
    <w:rsid w:val="0FBA4112"/>
    <w:rsid w:val="0FBB10D0"/>
    <w:rsid w:val="0FCC240A"/>
    <w:rsid w:val="0FD75ADB"/>
    <w:rsid w:val="0FDA673C"/>
    <w:rsid w:val="0FDA6A10"/>
    <w:rsid w:val="0FDA75CC"/>
    <w:rsid w:val="0FE1152A"/>
    <w:rsid w:val="0FEF2DCF"/>
    <w:rsid w:val="10040C3F"/>
    <w:rsid w:val="100B59FA"/>
    <w:rsid w:val="100E70DF"/>
    <w:rsid w:val="10110CDB"/>
    <w:rsid w:val="10206D1E"/>
    <w:rsid w:val="102618A3"/>
    <w:rsid w:val="10335DCD"/>
    <w:rsid w:val="10357330"/>
    <w:rsid w:val="103B7609"/>
    <w:rsid w:val="103F6D64"/>
    <w:rsid w:val="10421E25"/>
    <w:rsid w:val="10592ADF"/>
    <w:rsid w:val="105F040B"/>
    <w:rsid w:val="10600555"/>
    <w:rsid w:val="106800EF"/>
    <w:rsid w:val="10682E8F"/>
    <w:rsid w:val="10701270"/>
    <w:rsid w:val="107A5169"/>
    <w:rsid w:val="107B4EBF"/>
    <w:rsid w:val="107C4D2C"/>
    <w:rsid w:val="10881C30"/>
    <w:rsid w:val="108A6F8A"/>
    <w:rsid w:val="10907B90"/>
    <w:rsid w:val="10982CE6"/>
    <w:rsid w:val="109C0F24"/>
    <w:rsid w:val="10A27296"/>
    <w:rsid w:val="10A32DF1"/>
    <w:rsid w:val="10A45B57"/>
    <w:rsid w:val="10A46ADD"/>
    <w:rsid w:val="10A50D79"/>
    <w:rsid w:val="10A6159F"/>
    <w:rsid w:val="10A6223F"/>
    <w:rsid w:val="10AB24DF"/>
    <w:rsid w:val="10B669F7"/>
    <w:rsid w:val="10C04807"/>
    <w:rsid w:val="10C303E7"/>
    <w:rsid w:val="10D4182A"/>
    <w:rsid w:val="10D42E50"/>
    <w:rsid w:val="10D651F1"/>
    <w:rsid w:val="10D653BA"/>
    <w:rsid w:val="10DB6356"/>
    <w:rsid w:val="10EE1A70"/>
    <w:rsid w:val="10EF5ED1"/>
    <w:rsid w:val="10FB6927"/>
    <w:rsid w:val="11082231"/>
    <w:rsid w:val="110C16B8"/>
    <w:rsid w:val="11207CE9"/>
    <w:rsid w:val="112A5200"/>
    <w:rsid w:val="112B7604"/>
    <w:rsid w:val="11306888"/>
    <w:rsid w:val="11336D54"/>
    <w:rsid w:val="114C4009"/>
    <w:rsid w:val="11546D20"/>
    <w:rsid w:val="1168799E"/>
    <w:rsid w:val="11727FB0"/>
    <w:rsid w:val="117970DD"/>
    <w:rsid w:val="11811C97"/>
    <w:rsid w:val="118B5FDD"/>
    <w:rsid w:val="11A10C39"/>
    <w:rsid w:val="11A64DBC"/>
    <w:rsid w:val="11AF324A"/>
    <w:rsid w:val="11B31B1D"/>
    <w:rsid w:val="11B814E6"/>
    <w:rsid w:val="11B93C6A"/>
    <w:rsid w:val="11BC35EF"/>
    <w:rsid w:val="11C557B7"/>
    <w:rsid w:val="11DD789B"/>
    <w:rsid w:val="11E94707"/>
    <w:rsid w:val="1208332A"/>
    <w:rsid w:val="120B6EA9"/>
    <w:rsid w:val="1228310E"/>
    <w:rsid w:val="122C5972"/>
    <w:rsid w:val="12313D6F"/>
    <w:rsid w:val="12325B1D"/>
    <w:rsid w:val="12350165"/>
    <w:rsid w:val="123D7598"/>
    <w:rsid w:val="12444F04"/>
    <w:rsid w:val="1244691E"/>
    <w:rsid w:val="12497777"/>
    <w:rsid w:val="1251591B"/>
    <w:rsid w:val="12610602"/>
    <w:rsid w:val="12615F10"/>
    <w:rsid w:val="126B461E"/>
    <w:rsid w:val="127D72F2"/>
    <w:rsid w:val="127F339C"/>
    <w:rsid w:val="12874FEB"/>
    <w:rsid w:val="129D532F"/>
    <w:rsid w:val="12A60FDF"/>
    <w:rsid w:val="12A727B4"/>
    <w:rsid w:val="12A908D3"/>
    <w:rsid w:val="12AA7F02"/>
    <w:rsid w:val="12B31A9B"/>
    <w:rsid w:val="12B47253"/>
    <w:rsid w:val="12B87548"/>
    <w:rsid w:val="12BB18B8"/>
    <w:rsid w:val="12C14396"/>
    <w:rsid w:val="12C27CBC"/>
    <w:rsid w:val="12CA5052"/>
    <w:rsid w:val="12DC36AA"/>
    <w:rsid w:val="12DD1917"/>
    <w:rsid w:val="12DD509C"/>
    <w:rsid w:val="12DE33CA"/>
    <w:rsid w:val="12EA7758"/>
    <w:rsid w:val="12ED73AB"/>
    <w:rsid w:val="12FA679C"/>
    <w:rsid w:val="12FC274E"/>
    <w:rsid w:val="12FF52DE"/>
    <w:rsid w:val="13030235"/>
    <w:rsid w:val="13063F94"/>
    <w:rsid w:val="13101816"/>
    <w:rsid w:val="131B596C"/>
    <w:rsid w:val="13245423"/>
    <w:rsid w:val="13344C16"/>
    <w:rsid w:val="13396E6C"/>
    <w:rsid w:val="1343505A"/>
    <w:rsid w:val="13446954"/>
    <w:rsid w:val="134B666F"/>
    <w:rsid w:val="13544A6B"/>
    <w:rsid w:val="13596CEC"/>
    <w:rsid w:val="135C3AB9"/>
    <w:rsid w:val="13685067"/>
    <w:rsid w:val="136B08B3"/>
    <w:rsid w:val="137A40BD"/>
    <w:rsid w:val="138F4ADA"/>
    <w:rsid w:val="13910B1E"/>
    <w:rsid w:val="13987DB4"/>
    <w:rsid w:val="13A028A2"/>
    <w:rsid w:val="13B158DD"/>
    <w:rsid w:val="13B563DA"/>
    <w:rsid w:val="13B93BD8"/>
    <w:rsid w:val="13BB569E"/>
    <w:rsid w:val="13BD31AB"/>
    <w:rsid w:val="13BF139B"/>
    <w:rsid w:val="13C53BCF"/>
    <w:rsid w:val="13C55B19"/>
    <w:rsid w:val="13C7122C"/>
    <w:rsid w:val="13CD27B6"/>
    <w:rsid w:val="13D47C51"/>
    <w:rsid w:val="13E532CA"/>
    <w:rsid w:val="13EA24B1"/>
    <w:rsid w:val="13ED0B0B"/>
    <w:rsid w:val="13ED7D7F"/>
    <w:rsid w:val="13F96221"/>
    <w:rsid w:val="14007100"/>
    <w:rsid w:val="14055497"/>
    <w:rsid w:val="14116FEC"/>
    <w:rsid w:val="14145A78"/>
    <w:rsid w:val="14176353"/>
    <w:rsid w:val="141F7FB3"/>
    <w:rsid w:val="14226FC4"/>
    <w:rsid w:val="14242FDA"/>
    <w:rsid w:val="1424567A"/>
    <w:rsid w:val="143F5FC4"/>
    <w:rsid w:val="14436E72"/>
    <w:rsid w:val="144F55C3"/>
    <w:rsid w:val="1450322B"/>
    <w:rsid w:val="145207A2"/>
    <w:rsid w:val="14524507"/>
    <w:rsid w:val="14545F69"/>
    <w:rsid w:val="14547E86"/>
    <w:rsid w:val="14637D36"/>
    <w:rsid w:val="146D7907"/>
    <w:rsid w:val="14787422"/>
    <w:rsid w:val="147C2A02"/>
    <w:rsid w:val="147E33CA"/>
    <w:rsid w:val="14804E60"/>
    <w:rsid w:val="14827F07"/>
    <w:rsid w:val="1487373C"/>
    <w:rsid w:val="14960C1B"/>
    <w:rsid w:val="14A0526F"/>
    <w:rsid w:val="14A6749E"/>
    <w:rsid w:val="14B0700C"/>
    <w:rsid w:val="14B22251"/>
    <w:rsid w:val="14C02505"/>
    <w:rsid w:val="14C34089"/>
    <w:rsid w:val="14CB5204"/>
    <w:rsid w:val="14CD05EB"/>
    <w:rsid w:val="14D35BD9"/>
    <w:rsid w:val="14D74DBF"/>
    <w:rsid w:val="14D87A7B"/>
    <w:rsid w:val="14DB33FC"/>
    <w:rsid w:val="14DE0AFC"/>
    <w:rsid w:val="14E7787F"/>
    <w:rsid w:val="14F44F2E"/>
    <w:rsid w:val="14F92278"/>
    <w:rsid w:val="150A4793"/>
    <w:rsid w:val="150C2AD3"/>
    <w:rsid w:val="1515475D"/>
    <w:rsid w:val="15226586"/>
    <w:rsid w:val="15375746"/>
    <w:rsid w:val="15386363"/>
    <w:rsid w:val="153F5F47"/>
    <w:rsid w:val="15416178"/>
    <w:rsid w:val="154807CD"/>
    <w:rsid w:val="1561603B"/>
    <w:rsid w:val="15690DB0"/>
    <w:rsid w:val="156A5AB1"/>
    <w:rsid w:val="157A6CFF"/>
    <w:rsid w:val="157E6456"/>
    <w:rsid w:val="15831DC6"/>
    <w:rsid w:val="15846412"/>
    <w:rsid w:val="158E6466"/>
    <w:rsid w:val="158F48E5"/>
    <w:rsid w:val="15B040AF"/>
    <w:rsid w:val="15B64181"/>
    <w:rsid w:val="15B977A5"/>
    <w:rsid w:val="15C94A90"/>
    <w:rsid w:val="15D74588"/>
    <w:rsid w:val="15D95BE0"/>
    <w:rsid w:val="15E13025"/>
    <w:rsid w:val="15EB4378"/>
    <w:rsid w:val="15FB4E72"/>
    <w:rsid w:val="160B185E"/>
    <w:rsid w:val="160C499E"/>
    <w:rsid w:val="160F7157"/>
    <w:rsid w:val="16120383"/>
    <w:rsid w:val="16240B7E"/>
    <w:rsid w:val="1628036C"/>
    <w:rsid w:val="163871EC"/>
    <w:rsid w:val="163C51DF"/>
    <w:rsid w:val="16407A91"/>
    <w:rsid w:val="164162EA"/>
    <w:rsid w:val="16435A3F"/>
    <w:rsid w:val="16491552"/>
    <w:rsid w:val="164E34E9"/>
    <w:rsid w:val="1658760B"/>
    <w:rsid w:val="16662C80"/>
    <w:rsid w:val="16702D89"/>
    <w:rsid w:val="16704155"/>
    <w:rsid w:val="16704CA0"/>
    <w:rsid w:val="16796F0F"/>
    <w:rsid w:val="167A641F"/>
    <w:rsid w:val="167F480A"/>
    <w:rsid w:val="1688556A"/>
    <w:rsid w:val="168A1C6D"/>
    <w:rsid w:val="168C4079"/>
    <w:rsid w:val="168C47FD"/>
    <w:rsid w:val="168D27C2"/>
    <w:rsid w:val="16A00FDF"/>
    <w:rsid w:val="16A32AAC"/>
    <w:rsid w:val="16A470C1"/>
    <w:rsid w:val="16AF0615"/>
    <w:rsid w:val="16BD0B49"/>
    <w:rsid w:val="16C9587E"/>
    <w:rsid w:val="16D50CFC"/>
    <w:rsid w:val="16E33AB3"/>
    <w:rsid w:val="16EB76EF"/>
    <w:rsid w:val="17041FCF"/>
    <w:rsid w:val="170834E6"/>
    <w:rsid w:val="17141C1D"/>
    <w:rsid w:val="171B0546"/>
    <w:rsid w:val="17304A49"/>
    <w:rsid w:val="173353C2"/>
    <w:rsid w:val="173A18AA"/>
    <w:rsid w:val="174224E7"/>
    <w:rsid w:val="17493381"/>
    <w:rsid w:val="174E3271"/>
    <w:rsid w:val="175E627F"/>
    <w:rsid w:val="178102C8"/>
    <w:rsid w:val="17874ED3"/>
    <w:rsid w:val="17886A2C"/>
    <w:rsid w:val="178F26E7"/>
    <w:rsid w:val="17966843"/>
    <w:rsid w:val="17A9660F"/>
    <w:rsid w:val="17C05DB9"/>
    <w:rsid w:val="17C86BF9"/>
    <w:rsid w:val="17D04B6E"/>
    <w:rsid w:val="17D70D1F"/>
    <w:rsid w:val="17D80F4C"/>
    <w:rsid w:val="17E14521"/>
    <w:rsid w:val="17F07EA2"/>
    <w:rsid w:val="17F779C2"/>
    <w:rsid w:val="18002CEE"/>
    <w:rsid w:val="180414A0"/>
    <w:rsid w:val="18077070"/>
    <w:rsid w:val="18080D42"/>
    <w:rsid w:val="18117661"/>
    <w:rsid w:val="18165F0D"/>
    <w:rsid w:val="18193534"/>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60812"/>
    <w:rsid w:val="189C7EF6"/>
    <w:rsid w:val="189D4F71"/>
    <w:rsid w:val="18A016A2"/>
    <w:rsid w:val="18B04B4D"/>
    <w:rsid w:val="18C5316D"/>
    <w:rsid w:val="18D91A58"/>
    <w:rsid w:val="18E61DF6"/>
    <w:rsid w:val="18E87E12"/>
    <w:rsid w:val="18F5052C"/>
    <w:rsid w:val="191D14D9"/>
    <w:rsid w:val="192B1701"/>
    <w:rsid w:val="19315C59"/>
    <w:rsid w:val="19487D9F"/>
    <w:rsid w:val="196244DB"/>
    <w:rsid w:val="19693DBD"/>
    <w:rsid w:val="19693EEF"/>
    <w:rsid w:val="196B5F41"/>
    <w:rsid w:val="197704E1"/>
    <w:rsid w:val="199860B4"/>
    <w:rsid w:val="199E1567"/>
    <w:rsid w:val="19A33A02"/>
    <w:rsid w:val="19B0287A"/>
    <w:rsid w:val="19D1732F"/>
    <w:rsid w:val="19D21E58"/>
    <w:rsid w:val="19DD2371"/>
    <w:rsid w:val="19F92180"/>
    <w:rsid w:val="1A001213"/>
    <w:rsid w:val="1A0B53D9"/>
    <w:rsid w:val="1A0D4248"/>
    <w:rsid w:val="1A0E2694"/>
    <w:rsid w:val="1A0E6275"/>
    <w:rsid w:val="1A1335CF"/>
    <w:rsid w:val="1A200A74"/>
    <w:rsid w:val="1A256128"/>
    <w:rsid w:val="1A2619C2"/>
    <w:rsid w:val="1A273C43"/>
    <w:rsid w:val="1A2F2398"/>
    <w:rsid w:val="1A3055B8"/>
    <w:rsid w:val="1A344C2A"/>
    <w:rsid w:val="1A3E0E11"/>
    <w:rsid w:val="1A431CD5"/>
    <w:rsid w:val="1A5655AF"/>
    <w:rsid w:val="1A5C4727"/>
    <w:rsid w:val="1A5E1D51"/>
    <w:rsid w:val="1A6B5CD7"/>
    <w:rsid w:val="1A7760F0"/>
    <w:rsid w:val="1A812F08"/>
    <w:rsid w:val="1A844158"/>
    <w:rsid w:val="1A8F6E53"/>
    <w:rsid w:val="1A976762"/>
    <w:rsid w:val="1A9B675D"/>
    <w:rsid w:val="1A9F42B5"/>
    <w:rsid w:val="1ABA3BCF"/>
    <w:rsid w:val="1ABD36BF"/>
    <w:rsid w:val="1AC25486"/>
    <w:rsid w:val="1AD153DF"/>
    <w:rsid w:val="1AD36372"/>
    <w:rsid w:val="1AD9316D"/>
    <w:rsid w:val="1ADE3E70"/>
    <w:rsid w:val="1AE032B7"/>
    <w:rsid w:val="1AE42348"/>
    <w:rsid w:val="1AE5004C"/>
    <w:rsid w:val="1AF00AE6"/>
    <w:rsid w:val="1AF2383D"/>
    <w:rsid w:val="1AF762F6"/>
    <w:rsid w:val="1B01048D"/>
    <w:rsid w:val="1B012875"/>
    <w:rsid w:val="1B157C1A"/>
    <w:rsid w:val="1B1A6E4B"/>
    <w:rsid w:val="1B211C8A"/>
    <w:rsid w:val="1B21400E"/>
    <w:rsid w:val="1B29777B"/>
    <w:rsid w:val="1B325062"/>
    <w:rsid w:val="1B572C7F"/>
    <w:rsid w:val="1B5734B2"/>
    <w:rsid w:val="1B656CFB"/>
    <w:rsid w:val="1B6B1162"/>
    <w:rsid w:val="1B741EAE"/>
    <w:rsid w:val="1B87767B"/>
    <w:rsid w:val="1B8A7E4C"/>
    <w:rsid w:val="1B99173F"/>
    <w:rsid w:val="1B9E5782"/>
    <w:rsid w:val="1B9F2F5B"/>
    <w:rsid w:val="1BA31D38"/>
    <w:rsid w:val="1BB15A38"/>
    <w:rsid w:val="1BB32D92"/>
    <w:rsid w:val="1BB63E1D"/>
    <w:rsid w:val="1BBD79CB"/>
    <w:rsid w:val="1BCA4E13"/>
    <w:rsid w:val="1BCF40D2"/>
    <w:rsid w:val="1BD93E58"/>
    <w:rsid w:val="1BDB5923"/>
    <w:rsid w:val="1BE56C8C"/>
    <w:rsid w:val="1BE75134"/>
    <w:rsid w:val="1BEB39AC"/>
    <w:rsid w:val="1BEF5F56"/>
    <w:rsid w:val="1BF0049C"/>
    <w:rsid w:val="1C084F98"/>
    <w:rsid w:val="1C3C5A93"/>
    <w:rsid w:val="1C3D2E04"/>
    <w:rsid w:val="1C3D5C01"/>
    <w:rsid w:val="1C4852DE"/>
    <w:rsid w:val="1C4876C0"/>
    <w:rsid w:val="1C4D45E0"/>
    <w:rsid w:val="1C5D147A"/>
    <w:rsid w:val="1C751A36"/>
    <w:rsid w:val="1C785B2C"/>
    <w:rsid w:val="1C8E2581"/>
    <w:rsid w:val="1C92779F"/>
    <w:rsid w:val="1C971D45"/>
    <w:rsid w:val="1CA9456E"/>
    <w:rsid w:val="1CAC5F6D"/>
    <w:rsid w:val="1CB701AA"/>
    <w:rsid w:val="1CBD1F0A"/>
    <w:rsid w:val="1CBF0A48"/>
    <w:rsid w:val="1CC5776E"/>
    <w:rsid w:val="1CCA0F66"/>
    <w:rsid w:val="1CCF60D2"/>
    <w:rsid w:val="1CD01190"/>
    <w:rsid w:val="1CD0408C"/>
    <w:rsid w:val="1CDD4255"/>
    <w:rsid w:val="1CDE446D"/>
    <w:rsid w:val="1CE20210"/>
    <w:rsid w:val="1CE55FB2"/>
    <w:rsid w:val="1CE7510A"/>
    <w:rsid w:val="1CFA0A2E"/>
    <w:rsid w:val="1D0737DF"/>
    <w:rsid w:val="1D0A13FF"/>
    <w:rsid w:val="1D0F49F3"/>
    <w:rsid w:val="1D103326"/>
    <w:rsid w:val="1D1744C9"/>
    <w:rsid w:val="1D1D5688"/>
    <w:rsid w:val="1D234999"/>
    <w:rsid w:val="1D26771C"/>
    <w:rsid w:val="1D2E4D2C"/>
    <w:rsid w:val="1D3A665D"/>
    <w:rsid w:val="1D464FEE"/>
    <w:rsid w:val="1D5D7C71"/>
    <w:rsid w:val="1D5E15AD"/>
    <w:rsid w:val="1D644902"/>
    <w:rsid w:val="1D6B1D16"/>
    <w:rsid w:val="1D7551EF"/>
    <w:rsid w:val="1D801F65"/>
    <w:rsid w:val="1D8C2BA2"/>
    <w:rsid w:val="1D8F6B81"/>
    <w:rsid w:val="1D905228"/>
    <w:rsid w:val="1D9776E5"/>
    <w:rsid w:val="1D9E7BBD"/>
    <w:rsid w:val="1DAB0536"/>
    <w:rsid w:val="1DAE480F"/>
    <w:rsid w:val="1DB51F78"/>
    <w:rsid w:val="1DBC1C44"/>
    <w:rsid w:val="1DCC2895"/>
    <w:rsid w:val="1DDD2B31"/>
    <w:rsid w:val="1DF24DA6"/>
    <w:rsid w:val="1DF43659"/>
    <w:rsid w:val="1DFC21EE"/>
    <w:rsid w:val="1DFF69C5"/>
    <w:rsid w:val="1E004BB5"/>
    <w:rsid w:val="1E0E4DD7"/>
    <w:rsid w:val="1E0E72A0"/>
    <w:rsid w:val="1E130EFE"/>
    <w:rsid w:val="1E202860"/>
    <w:rsid w:val="1E2872C9"/>
    <w:rsid w:val="1E4316BE"/>
    <w:rsid w:val="1E4473F8"/>
    <w:rsid w:val="1E463D59"/>
    <w:rsid w:val="1E490459"/>
    <w:rsid w:val="1E50751B"/>
    <w:rsid w:val="1E545B82"/>
    <w:rsid w:val="1E6D1C74"/>
    <w:rsid w:val="1E736E4E"/>
    <w:rsid w:val="1E77318B"/>
    <w:rsid w:val="1E7E5EB1"/>
    <w:rsid w:val="1E7F3107"/>
    <w:rsid w:val="1E9B048D"/>
    <w:rsid w:val="1EA61B83"/>
    <w:rsid w:val="1EA82227"/>
    <w:rsid w:val="1EAA5DC0"/>
    <w:rsid w:val="1EAD188D"/>
    <w:rsid w:val="1EBC7347"/>
    <w:rsid w:val="1EBF31D2"/>
    <w:rsid w:val="1EC114B5"/>
    <w:rsid w:val="1ED12E78"/>
    <w:rsid w:val="1EDC2551"/>
    <w:rsid w:val="1EF23920"/>
    <w:rsid w:val="1EF80396"/>
    <w:rsid w:val="1EFC6A96"/>
    <w:rsid w:val="1F032AB6"/>
    <w:rsid w:val="1F075D27"/>
    <w:rsid w:val="1F0E7107"/>
    <w:rsid w:val="1F1568C5"/>
    <w:rsid w:val="1F194162"/>
    <w:rsid w:val="1F1C29EF"/>
    <w:rsid w:val="1F234826"/>
    <w:rsid w:val="1F271AF7"/>
    <w:rsid w:val="1F280458"/>
    <w:rsid w:val="1F31645A"/>
    <w:rsid w:val="1F331E38"/>
    <w:rsid w:val="1F3E4D51"/>
    <w:rsid w:val="1F4773C4"/>
    <w:rsid w:val="1F4919B9"/>
    <w:rsid w:val="1F4B1056"/>
    <w:rsid w:val="1F4C5C8A"/>
    <w:rsid w:val="1F517BAC"/>
    <w:rsid w:val="1F5E0D38"/>
    <w:rsid w:val="1F5F4414"/>
    <w:rsid w:val="1F637F58"/>
    <w:rsid w:val="1F735BA5"/>
    <w:rsid w:val="1F740B30"/>
    <w:rsid w:val="1F826970"/>
    <w:rsid w:val="1F860B9B"/>
    <w:rsid w:val="1F8B1C0F"/>
    <w:rsid w:val="1F972A67"/>
    <w:rsid w:val="1F972F90"/>
    <w:rsid w:val="1FA317AB"/>
    <w:rsid w:val="1FA415FD"/>
    <w:rsid w:val="1FA60478"/>
    <w:rsid w:val="1FA83BDA"/>
    <w:rsid w:val="1FA9286D"/>
    <w:rsid w:val="1FB66D49"/>
    <w:rsid w:val="1FBD341D"/>
    <w:rsid w:val="1FCB673D"/>
    <w:rsid w:val="1FE60369"/>
    <w:rsid w:val="1FE873DF"/>
    <w:rsid w:val="1FEE648E"/>
    <w:rsid w:val="1FF433BA"/>
    <w:rsid w:val="1FF9202F"/>
    <w:rsid w:val="1FFA5DCF"/>
    <w:rsid w:val="20003026"/>
    <w:rsid w:val="200F3B23"/>
    <w:rsid w:val="201967D7"/>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B0C31"/>
    <w:rsid w:val="20C174B3"/>
    <w:rsid w:val="20C66D8E"/>
    <w:rsid w:val="20CF37FC"/>
    <w:rsid w:val="20D717F3"/>
    <w:rsid w:val="20E02D05"/>
    <w:rsid w:val="20E32FBE"/>
    <w:rsid w:val="20EB43C6"/>
    <w:rsid w:val="20F01565"/>
    <w:rsid w:val="20F12135"/>
    <w:rsid w:val="20F7075A"/>
    <w:rsid w:val="20F90AAC"/>
    <w:rsid w:val="20FA405B"/>
    <w:rsid w:val="2123751D"/>
    <w:rsid w:val="21271EDF"/>
    <w:rsid w:val="212729AC"/>
    <w:rsid w:val="21272BE8"/>
    <w:rsid w:val="212B616E"/>
    <w:rsid w:val="213121BA"/>
    <w:rsid w:val="214A2960"/>
    <w:rsid w:val="214E6349"/>
    <w:rsid w:val="215302B9"/>
    <w:rsid w:val="2155157C"/>
    <w:rsid w:val="215670DE"/>
    <w:rsid w:val="215A0945"/>
    <w:rsid w:val="216F697C"/>
    <w:rsid w:val="2183462B"/>
    <w:rsid w:val="218E4A09"/>
    <w:rsid w:val="218E6399"/>
    <w:rsid w:val="219C608D"/>
    <w:rsid w:val="219C6DDD"/>
    <w:rsid w:val="21B31BFA"/>
    <w:rsid w:val="21B639FD"/>
    <w:rsid w:val="21B97C7E"/>
    <w:rsid w:val="21CE7F46"/>
    <w:rsid w:val="21D11733"/>
    <w:rsid w:val="21D65B39"/>
    <w:rsid w:val="21DC290B"/>
    <w:rsid w:val="21DF3292"/>
    <w:rsid w:val="21DF71DE"/>
    <w:rsid w:val="21F261D6"/>
    <w:rsid w:val="22111157"/>
    <w:rsid w:val="22257114"/>
    <w:rsid w:val="2229623B"/>
    <w:rsid w:val="22332CD0"/>
    <w:rsid w:val="22477192"/>
    <w:rsid w:val="224C2951"/>
    <w:rsid w:val="224C75BD"/>
    <w:rsid w:val="22685535"/>
    <w:rsid w:val="226F597A"/>
    <w:rsid w:val="22771E18"/>
    <w:rsid w:val="227A54E3"/>
    <w:rsid w:val="22864C09"/>
    <w:rsid w:val="22865CFC"/>
    <w:rsid w:val="22911DAE"/>
    <w:rsid w:val="229900B1"/>
    <w:rsid w:val="22A67210"/>
    <w:rsid w:val="22BD3256"/>
    <w:rsid w:val="22BD4E7D"/>
    <w:rsid w:val="22C96B90"/>
    <w:rsid w:val="22D07449"/>
    <w:rsid w:val="22DB314E"/>
    <w:rsid w:val="22E05EAE"/>
    <w:rsid w:val="22E40F3D"/>
    <w:rsid w:val="22EC743F"/>
    <w:rsid w:val="22EF27CB"/>
    <w:rsid w:val="22FD063F"/>
    <w:rsid w:val="22FF02BC"/>
    <w:rsid w:val="230B248C"/>
    <w:rsid w:val="230E2521"/>
    <w:rsid w:val="23133308"/>
    <w:rsid w:val="231847B8"/>
    <w:rsid w:val="231E3ED2"/>
    <w:rsid w:val="23303366"/>
    <w:rsid w:val="23304ABE"/>
    <w:rsid w:val="23370256"/>
    <w:rsid w:val="23440A17"/>
    <w:rsid w:val="234421C7"/>
    <w:rsid w:val="234D61BE"/>
    <w:rsid w:val="23537C14"/>
    <w:rsid w:val="2357065A"/>
    <w:rsid w:val="2359486E"/>
    <w:rsid w:val="235A0638"/>
    <w:rsid w:val="23602CB6"/>
    <w:rsid w:val="2362645B"/>
    <w:rsid w:val="23700EEA"/>
    <w:rsid w:val="237B7CDD"/>
    <w:rsid w:val="238C42D2"/>
    <w:rsid w:val="23926459"/>
    <w:rsid w:val="2393048F"/>
    <w:rsid w:val="239C47E5"/>
    <w:rsid w:val="239E3C8F"/>
    <w:rsid w:val="23A06B4E"/>
    <w:rsid w:val="23A25387"/>
    <w:rsid w:val="23A40CCF"/>
    <w:rsid w:val="23BD3DB8"/>
    <w:rsid w:val="23E3662A"/>
    <w:rsid w:val="23F61F1B"/>
    <w:rsid w:val="23FA1D01"/>
    <w:rsid w:val="23FB5A19"/>
    <w:rsid w:val="2404601A"/>
    <w:rsid w:val="241C4CE9"/>
    <w:rsid w:val="24214B16"/>
    <w:rsid w:val="242404CF"/>
    <w:rsid w:val="242713BB"/>
    <w:rsid w:val="24342A6E"/>
    <w:rsid w:val="24351B4F"/>
    <w:rsid w:val="243647BB"/>
    <w:rsid w:val="244B3C6E"/>
    <w:rsid w:val="244F716C"/>
    <w:rsid w:val="24501237"/>
    <w:rsid w:val="24576A62"/>
    <w:rsid w:val="245E385D"/>
    <w:rsid w:val="246E76BE"/>
    <w:rsid w:val="24725231"/>
    <w:rsid w:val="24762507"/>
    <w:rsid w:val="248219BA"/>
    <w:rsid w:val="24863B93"/>
    <w:rsid w:val="248A0B9C"/>
    <w:rsid w:val="24975612"/>
    <w:rsid w:val="249E3719"/>
    <w:rsid w:val="24A2659E"/>
    <w:rsid w:val="24AC6170"/>
    <w:rsid w:val="24B3373A"/>
    <w:rsid w:val="24B346B5"/>
    <w:rsid w:val="24B606B7"/>
    <w:rsid w:val="24B642F0"/>
    <w:rsid w:val="24C35722"/>
    <w:rsid w:val="24D92A69"/>
    <w:rsid w:val="24EC3BCA"/>
    <w:rsid w:val="24EC4ADF"/>
    <w:rsid w:val="24EF6448"/>
    <w:rsid w:val="24F71B8F"/>
    <w:rsid w:val="24F92CDE"/>
    <w:rsid w:val="2509234F"/>
    <w:rsid w:val="250C0B5D"/>
    <w:rsid w:val="25130959"/>
    <w:rsid w:val="25252C8E"/>
    <w:rsid w:val="25294169"/>
    <w:rsid w:val="25335BFF"/>
    <w:rsid w:val="25353A77"/>
    <w:rsid w:val="253D4E51"/>
    <w:rsid w:val="254178F0"/>
    <w:rsid w:val="25462DA6"/>
    <w:rsid w:val="25482946"/>
    <w:rsid w:val="25506FCE"/>
    <w:rsid w:val="255D158F"/>
    <w:rsid w:val="25694473"/>
    <w:rsid w:val="256C7DD7"/>
    <w:rsid w:val="25893EFE"/>
    <w:rsid w:val="258A1AB3"/>
    <w:rsid w:val="25A30357"/>
    <w:rsid w:val="25B35E6A"/>
    <w:rsid w:val="25B91F68"/>
    <w:rsid w:val="25BB0481"/>
    <w:rsid w:val="25BE6749"/>
    <w:rsid w:val="25CF10FC"/>
    <w:rsid w:val="25D0394A"/>
    <w:rsid w:val="25DE0185"/>
    <w:rsid w:val="25E04003"/>
    <w:rsid w:val="25E96836"/>
    <w:rsid w:val="25EB6DBF"/>
    <w:rsid w:val="25EE4F04"/>
    <w:rsid w:val="25EE6875"/>
    <w:rsid w:val="26056FD7"/>
    <w:rsid w:val="260C334C"/>
    <w:rsid w:val="26103A93"/>
    <w:rsid w:val="26164A17"/>
    <w:rsid w:val="261D0491"/>
    <w:rsid w:val="26276BC7"/>
    <w:rsid w:val="262A76BD"/>
    <w:rsid w:val="263262EE"/>
    <w:rsid w:val="26412189"/>
    <w:rsid w:val="264136D1"/>
    <w:rsid w:val="264938E7"/>
    <w:rsid w:val="26517452"/>
    <w:rsid w:val="26566E1C"/>
    <w:rsid w:val="265956E8"/>
    <w:rsid w:val="265E61F3"/>
    <w:rsid w:val="266013CD"/>
    <w:rsid w:val="2679079E"/>
    <w:rsid w:val="26805F58"/>
    <w:rsid w:val="268120E0"/>
    <w:rsid w:val="268B4EFD"/>
    <w:rsid w:val="26966C1B"/>
    <w:rsid w:val="269C0839"/>
    <w:rsid w:val="26A10A64"/>
    <w:rsid w:val="26A24282"/>
    <w:rsid w:val="26BB6790"/>
    <w:rsid w:val="26BF3C79"/>
    <w:rsid w:val="26C4287D"/>
    <w:rsid w:val="26C84C3F"/>
    <w:rsid w:val="26CA39FA"/>
    <w:rsid w:val="26CC40E7"/>
    <w:rsid w:val="26D85E33"/>
    <w:rsid w:val="26DB2072"/>
    <w:rsid w:val="26E3294D"/>
    <w:rsid w:val="26FA248B"/>
    <w:rsid w:val="270B4A30"/>
    <w:rsid w:val="270F1235"/>
    <w:rsid w:val="27154206"/>
    <w:rsid w:val="27171830"/>
    <w:rsid w:val="271D238B"/>
    <w:rsid w:val="27294DCB"/>
    <w:rsid w:val="272A62FD"/>
    <w:rsid w:val="272B4D4B"/>
    <w:rsid w:val="273460AC"/>
    <w:rsid w:val="2737495D"/>
    <w:rsid w:val="27456A02"/>
    <w:rsid w:val="274E64D1"/>
    <w:rsid w:val="274E6AA9"/>
    <w:rsid w:val="276205CD"/>
    <w:rsid w:val="27764F15"/>
    <w:rsid w:val="277C6B33"/>
    <w:rsid w:val="27862FAB"/>
    <w:rsid w:val="278E66BF"/>
    <w:rsid w:val="278F67DD"/>
    <w:rsid w:val="279137A0"/>
    <w:rsid w:val="27A129E6"/>
    <w:rsid w:val="27A67921"/>
    <w:rsid w:val="27A85A7B"/>
    <w:rsid w:val="27B31F91"/>
    <w:rsid w:val="27B33E3F"/>
    <w:rsid w:val="27B506FD"/>
    <w:rsid w:val="27B778B7"/>
    <w:rsid w:val="27BF0D59"/>
    <w:rsid w:val="27CE4805"/>
    <w:rsid w:val="27D831E9"/>
    <w:rsid w:val="27DC01C9"/>
    <w:rsid w:val="27DF64F1"/>
    <w:rsid w:val="27E53287"/>
    <w:rsid w:val="27E8590F"/>
    <w:rsid w:val="27EA6D62"/>
    <w:rsid w:val="27EB36B9"/>
    <w:rsid w:val="27F23097"/>
    <w:rsid w:val="280A737B"/>
    <w:rsid w:val="280B74EF"/>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D55CF"/>
    <w:rsid w:val="28BB0CDC"/>
    <w:rsid w:val="28BC39FA"/>
    <w:rsid w:val="28C01B18"/>
    <w:rsid w:val="28C0611A"/>
    <w:rsid w:val="28D46070"/>
    <w:rsid w:val="28E2641E"/>
    <w:rsid w:val="28E86DC0"/>
    <w:rsid w:val="28F95D2E"/>
    <w:rsid w:val="29027AB4"/>
    <w:rsid w:val="29057EC1"/>
    <w:rsid w:val="290657A0"/>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A7D20"/>
    <w:rsid w:val="2975172E"/>
    <w:rsid w:val="297D0620"/>
    <w:rsid w:val="29804E7F"/>
    <w:rsid w:val="29864976"/>
    <w:rsid w:val="2997240E"/>
    <w:rsid w:val="299E38BD"/>
    <w:rsid w:val="299E7A8C"/>
    <w:rsid w:val="29BF36D6"/>
    <w:rsid w:val="29C12B81"/>
    <w:rsid w:val="29C52E87"/>
    <w:rsid w:val="29C60D55"/>
    <w:rsid w:val="29D9317B"/>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A47786"/>
    <w:rsid w:val="2AA7735C"/>
    <w:rsid w:val="2AAA19F3"/>
    <w:rsid w:val="2AAD65EE"/>
    <w:rsid w:val="2AB23403"/>
    <w:rsid w:val="2AB30DE9"/>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206D7B"/>
    <w:rsid w:val="2B26172C"/>
    <w:rsid w:val="2B2E0309"/>
    <w:rsid w:val="2B422946"/>
    <w:rsid w:val="2B54055B"/>
    <w:rsid w:val="2B564116"/>
    <w:rsid w:val="2B5B34DC"/>
    <w:rsid w:val="2B665001"/>
    <w:rsid w:val="2B6D12EE"/>
    <w:rsid w:val="2B76579E"/>
    <w:rsid w:val="2B793021"/>
    <w:rsid w:val="2B7973CB"/>
    <w:rsid w:val="2B831E93"/>
    <w:rsid w:val="2B852EE0"/>
    <w:rsid w:val="2B885C3B"/>
    <w:rsid w:val="2B96474C"/>
    <w:rsid w:val="2B964DED"/>
    <w:rsid w:val="2B9B3546"/>
    <w:rsid w:val="2BA57D96"/>
    <w:rsid w:val="2BAE29A1"/>
    <w:rsid w:val="2BBA1460"/>
    <w:rsid w:val="2BBE438D"/>
    <w:rsid w:val="2BC20D08"/>
    <w:rsid w:val="2BCC5AD3"/>
    <w:rsid w:val="2BD315B0"/>
    <w:rsid w:val="2BDF564F"/>
    <w:rsid w:val="2BE373EE"/>
    <w:rsid w:val="2BF70797"/>
    <w:rsid w:val="2BFC3156"/>
    <w:rsid w:val="2C0A73E9"/>
    <w:rsid w:val="2C1B0C5E"/>
    <w:rsid w:val="2C295EB9"/>
    <w:rsid w:val="2C35729B"/>
    <w:rsid w:val="2C367CB2"/>
    <w:rsid w:val="2C3E56FC"/>
    <w:rsid w:val="2C4628DA"/>
    <w:rsid w:val="2C55539A"/>
    <w:rsid w:val="2C555D92"/>
    <w:rsid w:val="2C575DDE"/>
    <w:rsid w:val="2C622710"/>
    <w:rsid w:val="2C734CA0"/>
    <w:rsid w:val="2C7A1A31"/>
    <w:rsid w:val="2C7C7D79"/>
    <w:rsid w:val="2C83115A"/>
    <w:rsid w:val="2C8B517A"/>
    <w:rsid w:val="2C9466E2"/>
    <w:rsid w:val="2C9B3279"/>
    <w:rsid w:val="2C9E7CD8"/>
    <w:rsid w:val="2CA75A74"/>
    <w:rsid w:val="2CAF6B04"/>
    <w:rsid w:val="2CB0279E"/>
    <w:rsid w:val="2CC94DCD"/>
    <w:rsid w:val="2CD12AE5"/>
    <w:rsid w:val="2CE753B9"/>
    <w:rsid w:val="2CFA54A1"/>
    <w:rsid w:val="2CFA7BC7"/>
    <w:rsid w:val="2D1352C4"/>
    <w:rsid w:val="2D1E41EB"/>
    <w:rsid w:val="2D267C9A"/>
    <w:rsid w:val="2D310CA2"/>
    <w:rsid w:val="2D373D61"/>
    <w:rsid w:val="2D3A323B"/>
    <w:rsid w:val="2D3C5761"/>
    <w:rsid w:val="2D3D3639"/>
    <w:rsid w:val="2D4B55E5"/>
    <w:rsid w:val="2D4C0E6E"/>
    <w:rsid w:val="2D53589F"/>
    <w:rsid w:val="2D5E4035"/>
    <w:rsid w:val="2D626265"/>
    <w:rsid w:val="2D640CC5"/>
    <w:rsid w:val="2D64182E"/>
    <w:rsid w:val="2D673E69"/>
    <w:rsid w:val="2D7646A7"/>
    <w:rsid w:val="2D8148B0"/>
    <w:rsid w:val="2D8B26BE"/>
    <w:rsid w:val="2D926963"/>
    <w:rsid w:val="2DA875D6"/>
    <w:rsid w:val="2DB30550"/>
    <w:rsid w:val="2DDA7850"/>
    <w:rsid w:val="2DDC0104"/>
    <w:rsid w:val="2DE15BB0"/>
    <w:rsid w:val="2DE379BB"/>
    <w:rsid w:val="2DF32353"/>
    <w:rsid w:val="2DFF1B09"/>
    <w:rsid w:val="2E0177B9"/>
    <w:rsid w:val="2E034F95"/>
    <w:rsid w:val="2E090F9F"/>
    <w:rsid w:val="2E0F53F1"/>
    <w:rsid w:val="2E1135A2"/>
    <w:rsid w:val="2E116BFF"/>
    <w:rsid w:val="2E160F66"/>
    <w:rsid w:val="2E1D2BF2"/>
    <w:rsid w:val="2E226B8A"/>
    <w:rsid w:val="2E2336D4"/>
    <w:rsid w:val="2E2B63FE"/>
    <w:rsid w:val="2E2E16A7"/>
    <w:rsid w:val="2E303BB4"/>
    <w:rsid w:val="2E3B2A47"/>
    <w:rsid w:val="2E486DFB"/>
    <w:rsid w:val="2E4C4263"/>
    <w:rsid w:val="2E5605A6"/>
    <w:rsid w:val="2E6003A4"/>
    <w:rsid w:val="2E69729D"/>
    <w:rsid w:val="2E6A2F38"/>
    <w:rsid w:val="2E753A5E"/>
    <w:rsid w:val="2E7C517A"/>
    <w:rsid w:val="2E801F1F"/>
    <w:rsid w:val="2E8543E2"/>
    <w:rsid w:val="2E8C35B6"/>
    <w:rsid w:val="2E9045E4"/>
    <w:rsid w:val="2E9B575E"/>
    <w:rsid w:val="2EA62E1C"/>
    <w:rsid w:val="2EB50951"/>
    <w:rsid w:val="2EB673FD"/>
    <w:rsid w:val="2EB809B1"/>
    <w:rsid w:val="2EB81831"/>
    <w:rsid w:val="2ECF7A85"/>
    <w:rsid w:val="2EDB0A6C"/>
    <w:rsid w:val="2EE054B3"/>
    <w:rsid w:val="2EE70752"/>
    <w:rsid w:val="2EEB0155"/>
    <w:rsid w:val="2EF80EBF"/>
    <w:rsid w:val="2EF91234"/>
    <w:rsid w:val="2EFA0186"/>
    <w:rsid w:val="2F0236C3"/>
    <w:rsid w:val="2F082BB8"/>
    <w:rsid w:val="2F0A286A"/>
    <w:rsid w:val="2F0C2ED0"/>
    <w:rsid w:val="2F0F048D"/>
    <w:rsid w:val="2F122593"/>
    <w:rsid w:val="2F140BB8"/>
    <w:rsid w:val="2F140F9B"/>
    <w:rsid w:val="2F184070"/>
    <w:rsid w:val="2F197408"/>
    <w:rsid w:val="2F217633"/>
    <w:rsid w:val="2F2B5ABF"/>
    <w:rsid w:val="2F2E604D"/>
    <w:rsid w:val="2F345DAF"/>
    <w:rsid w:val="2F347C92"/>
    <w:rsid w:val="2F3542DF"/>
    <w:rsid w:val="2F371D30"/>
    <w:rsid w:val="2F4157A3"/>
    <w:rsid w:val="2F417886"/>
    <w:rsid w:val="2F5D2DA3"/>
    <w:rsid w:val="2F675A9B"/>
    <w:rsid w:val="2F6C0134"/>
    <w:rsid w:val="2F882E85"/>
    <w:rsid w:val="2F9A7F4A"/>
    <w:rsid w:val="2FB11396"/>
    <w:rsid w:val="2FB63290"/>
    <w:rsid w:val="2FBB2713"/>
    <w:rsid w:val="2FC733B8"/>
    <w:rsid w:val="2FCA4F20"/>
    <w:rsid w:val="2FDF3433"/>
    <w:rsid w:val="2FE74DE2"/>
    <w:rsid w:val="2FF30E57"/>
    <w:rsid w:val="300C4C70"/>
    <w:rsid w:val="30291A13"/>
    <w:rsid w:val="303371BB"/>
    <w:rsid w:val="303C6F75"/>
    <w:rsid w:val="3044399D"/>
    <w:rsid w:val="30487E8C"/>
    <w:rsid w:val="305868C6"/>
    <w:rsid w:val="305B1097"/>
    <w:rsid w:val="306445C1"/>
    <w:rsid w:val="30695E81"/>
    <w:rsid w:val="306F3DBA"/>
    <w:rsid w:val="307F14D6"/>
    <w:rsid w:val="308640A9"/>
    <w:rsid w:val="30896C6B"/>
    <w:rsid w:val="308D2846"/>
    <w:rsid w:val="309E4CFC"/>
    <w:rsid w:val="30A65AEF"/>
    <w:rsid w:val="30AE326A"/>
    <w:rsid w:val="30B22BA9"/>
    <w:rsid w:val="30C61AC5"/>
    <w:rsid w:val="30D0377D"/>
    <w:rsid w:val="30D1717F"/>
    <w:rsid w:val="30D2261F"/>
    <w:rsid w:val="30DE0226"/>
    <w:rsid w:val="30F50A2A"/>
    <w:rsid w:val="30F56F9C"/>
    <w:rsid w:val="31007D5E"/>
    <w:rsid w:val="31014627"/>
    <w:rsid w:val="310427FF"/>
    <w:rsid w:val="310E2FDC"/>
    <w:rsid w:val="31115223"/>
    <w:rsid w:val="3112044C"/>
    <w:rsid w:val="311E40ED"/>
    <w:rsid w:val="312440E9"/>
    <w:rsid w:val="31263645"/>
    <w:rsid w:val="312772AE"/>
    <w:rsid w:val="312F0667"/>
    <w:rsid w:val="31386CF9"/>
    <w:rsid w:val="31442CD4"/>
    <w:rsid w:val="31445B9B"/>
    <w:rsid w:val="314A653C"/>
    <w:rsid w:val="314C64DA"/>
    <w:rsid w:val="316B13D5"/>
    <w:rsid w:val="31720F1D"/>
    <w:rsid w:val="31745B98"/>
    <w:rsid w:val="317A7F18"/>
    <w:rsid w:val="317D1E1E"/>
    <w:rsid w:val="317E525C"/>
    <w:rsid w:val="31837E97"/>
    <w:rsid w:val="31843563"/>
    <w:rsid w:val="31941BC8"/>
    <w:rsid w:val="319951C3"/>
    <w:rsid w:val="319E0837"/>
    <w:rsid w:val="31B347D1"/>
    <w:rsid w:val="31BF03E5"/>
    <w:rsid w:val="31C0462A"/>
    <w:rsid w:val="31CB03B0"/>
    <w:rsid w:val="31CE29FE"/>
    <w:rsid w:val="31E4153A"/>
    <w:rsid w:val="31E65427"/>
    <w:rsid w:val="31F33BFC"/>
    <w:rsid w:val="31F36F19"/>
    <w:rsid w:val="31F43BF9"/>
    <w:rsid w:val="31F96A5C"/>
    <w:rsid w:val="31FA7F8F"/>
    <w:rsid w:val="31FB63BA"/>
    <w:rsid w:val="31FE3F69"/>
    <w:rsid w:val="32006ED8"/>
    <w:rsid w:val="32057053"/>
    <w:rsid w:val="320648D5"/>
    <w:rsid w:val="320733C3"/>
    <w:rsid w:val="32144A36"/>
    <w:rsid w:val="321C18F4"/>
    <w:rsid w:val="321C2B52"/>
    <w:rsid w:val="321D6695"/>
    <w:rsid w:val="321F61EC"/>
    <w:rsid w:val="322B5011"/>
    <w:rsid w:val="322E4BAF"/>
    <w:rsid w:val="323036BA"/>
    <w:rsid w:val="323E46BF"/>
    <w:rsid w:val="324F04DB"/>
    <w:rsid w:val="32503DFA"/>
    <w:rsid w:val="326C3B73"/>
    <w:rsid w:val="32702FC0"/>
    <w:rsid w:val="327144B7"/>
    <w:rsid w:val="327A4B0B"/>
    <w:rsid w:val="329119F4"/>
    <w:rsid w:val="329B0193"/>
    <w:rsid w:val="32B13765"/>
    <w:rsid w:val="32B21CE2"/>
    <w:rsid w:val="32C07974"/>
    <w:rsid w:val="32CA65F9"/>
    <w:rsid w:val="32D942C8"/>
    <w:rsid w:val="32EE5AB7"/>
    <w:rsid w:val="33054854"/>
    <w:rsid w:val="33064DC6"/>
    <w:rsid w:val="330844B4"/>
    <w:rsid w:val="330A16FB"/>
    <w:rsid w:val="330F746B"/>
    <w:rsid w:val="33141FF7"/>
    <w:rsid w:val="3315475F"/>
    <w:rsid w:val="331B0364"/>
    <w:rsid w:val="333B776E"/>
    <w:rsid w:val="333E0092"/>
    <w:rsid w:val="333E5382"/>
    <w:rsid w:val="33482976"/>
    <w:rsid w:val="335064FB"/>
    <w:rsid w:val="33506C9F"/>
    <w:rsid w:val="3360334C"/>
    <w:rsid w:val="33671CFC"/>
    <w:rsid w:val="33742E43"/>
    <w:rsid w:val="3377004F"/>
    <w:rsid w:val="33775E05"/>
    <w:rsid w:val="337A0512"/>
    <w:rsid w:val="338574F9"/>
    <w:rsid w:val="338F55A8"/>
    <w:rsid w:val="33901F2A"/>
    <w:rsid w:val="339720CA"/>
    <w:rsid w:val="339E0B23"/>
    <w:rsid w:val="33A078AB"/>
    <w:rsid w:val="33A222F8"/>
    <w:rsid w:val="33B145B5"/>
    <w:rsid w:val="33B26AB4"/>
    <w:rsid w:val="33B85C62"/>
    <w:rsid w:val="33B90357"/>
    <w:rsid w:val="33C1447D"/>
    <w:rsid w:val="33C3614F"/>
    <w:rsid w:val="33D03190"/>
    <w:rsid w:val="33D62B96"/>
    <w:rsid w:val="33E32DB1"/>
    <w:rsid w:val="33F14691"/>
    <w:rsid w:val="33FD6998"/>
    <w:rsid w:val="33FF7460"/>
    <w:rsid w:val="34153A47"/>
    <w:rsid w:val="34160D04"/>
    <w:rsid w:val="342C53D2"/>
    <w:rsid w:val="342E023B"/>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94430D"/>
    <w:rsid w:val="34946C2E"/>
    <w:rsid w:val="34A24AD6"/>
    <w:rsid w:val="34BA1AF2"/>
    <w:rsid w:val="34BA788F"/>
    <w:rsid w:val="34BB32EC"/>
    <w:rsid w:val="34C04708"/>
    <w:rsid w:val="34C967AE"/>
    <w:rsid w:val="34D46D17"/>
    <w:rsid w:val="34D97F79"/>
    <w:rsid w:val="34EA657F"/>
    <w:rsid w:val="34FB2B80"/>
    <w:rsid w:val="34FD5844"/>
    <w:rsid w:val="35000CEA"/>
    <w:rsid w:val="35052B8B"/>
    <w:rsid w:val="350F349A"/>
    <w:rsid w:val="35202182"/>
    <w:rsid w:val="35254498"/>
    <w:rsid w:val="35280DED"/>
    <w:rsid w:val="353A176C"/>
    <w:rsid w:val="35463167"/>
    <w:rsid w:val="35665ADB"/>
    <w:rsid w:val="356D77D8"/>
    <w:rsid w:val="35770BA6"/>
    <w:rsid w:val="35816EB9"/>
    <w:rsid w:val="35821E3D"/>
    <w:rsid w:val="35943721"/>
    <w:rsid w:val="359F5261"/>
    <w:rsid w:val="35AC28F5"/>
    <w:rsid w:val="35B06EC9"/>
    <w:rsid w:val="35B35F81"/>
    <w:rsid w:val="35C2434B"/>
    <w:rsid w:val="35CA5DCC"/>
    <w:rsid w:val="35E127D8"/>
    <w:rsid w:val="35E47F6F"/>
    <w:rsid w:val="35F41A2F"/>
    <w:rsid w:val="35F421D8"/>
    <w:rsid w:val="35FE7215"/>
    <w:rsid w:val="35FF2DF2"/>
    <w:rsid w:val="36000F59"/>
    <w:rsid w:val="3600703E"/>
    <w:rsid w:val="360A28F0"/>
    <w:rsid w:val="360A456E"/>
    <w:rsid w:val="360B232F"/>
    <w:rsid w:val="36107446"/>
    <w:rsid w:val="361D59BA"/>
    <w:rsid w:val="36247CCA"/>
    <w:rsid w:val="36280FB0"/>
    <w:rsid w:val="36400759"/>
    <w:rsid w:val="364225B8"/>
    <w:rsid w:val="3649784F"/>
    <w:rsid w:val="364A0BAA"/>
    <w:rsid w:val="364A7899"/>
    <w:rsid w:val="364B4F18"/>
    <w:rsid w:val="364E6ED2"/>
    <w:rsid w:val="36520E31"/>
    <w:rsid w:val="36544E83"/>
    <w:rsid w:val="36601F32"/>
    <w:rsid w:val="3663723E"/>
    <w:rsid w:val="366623CD"/>
    <w:rsid w:val="367B06EC"/>
    <w:rsid w:val="368400A0"/>
    <w:rsid w:val="368B76C7"/>
    <w:rsid w:val="36A57135"/>
    <w:rsid w:val="36AF0D32"/>
    <w:rsid w:val="36B72AD3"/>
    <w:rsid w:val="36BD6823"/>
    <w:rsid w:val="36C5766F"/>
    <w:rsid w:val="36CC1D0A"/>
    <w:rsid w:val="36CE5337"/>
    <w:rsid w:val="36D41560"/>
    <w:rsid w:val="36D704F3"/>
    <w:rsid w:val="36DC0094"/>
    <w:rsid w:val="36E44BB3"/>
    <w:rsid w:val="36E90250"/>
    <w:rsid w:val="36ED465C"/>
    <w:rsid w:val="36F13515"/>
    <w:rsid w:val="370058B6"/>
    <w:rsid w:val="37066B46"/>
    <w:rsid w:val="37131885"/>
    <w:rsid w:val="37146912"/>
    <w:rsid w:val="37207A8A"/>
    <w:rsid w:val="372D3B8B"/>
    <w:rsid w:val="372E53E1"/>
    <w:rsid w:val="37364124"/>
    <w:rsid w:val="374604DA"/>
    <w:rsid w:val="37556EFB"/>
    <w:rsid w:val="37634C0D"/>
    <w:rsid w:val="37635AA2"/>
    <w:rsid w:val="376D038A"/>
    <w:rsid w:val="377C5C71"/>
    <w:rsid w:val="378B7914"/>
    <w:rsid w:val="378D4EC4"/>
    <w:rsid w:val="379127D4"/>
    <w:rsid w:val="3794359E"/>
    <w:rsid w:val="3795413E"/>
    <w:rsid w:val="37AE4287"/>
    <w:rsid w:val="37B01FC8"/>
    <w:rsid w:val="37BE275C"/>
    <w:rsid w:val="37CC087E"/>
    <w:rsid w:val="37E62B54"/>
    <w:rsid w:val="37EF33A1"/>
    <w:rsid w:val="37F7211A"/>
    <w:rsid w:val="37FB3BA9"/>
    <w:rsid w:val="37FD2BB1"/>
    <w:rsid w:val="37FE1821"/>
    <w:rsid w:val="37FE2271"/>
    <w:rsid w:val="380A5A73"/>
    <w:rsid w:val="38115BCA"/>
    <w:rsid w:val="381B6A63"/>
    <w:rsid w:val="381D63E4"/>
    <w:rsid w:val="38250593"/>
    <w:rsid w:val="383619F6"/>
    <w:rsid w:val="38394C1E"/>
    <w:rsid w:val="383C048E"/>
    <w:rsid w:val="38400A55"/>
    <w:rsid w:val="38454C9B"/>
    <w:rsid w:val="3847572C"/>
    <w:rsid w:val="38521CF7"/>
    <w:rsid w:val="385310FA"/>
    <w:rsid w:val="385A5B31"/>
    <w:rsid w:val="385A68D2"/>
    <w:rsid w:val="386E12F9"/>
    <w:rsid w:val="3875702F"/>
    <w:rsid w:val="387B3D2A"/>
    <w:rsid w:val="388116C0"/>
    <w:rsid w:val="3885236D"/>
    <w:rsid w:val="388A1731"/>
    <w:rsid w:val="388C714F"/>
    <w:rsid w:val="388E4D42"/>
    <w:rsid w:val="38946C1E"/>
    <w:rsid w:val="38966DB9"/>
    <w:rsid w:val="38B20894"/>
    <w:rsid w:val="38C20AF3"/>
    <w:rsid w:val="38C2768F"/>
    <w:rsid w:val="38C64558"/>
    <w:rsid w:val="38D8015C"/>
    <w:rsid w:val="38E37461"/>
    <w:rsid w:val="38F3345E"/>
    <w:rsid w:val="38F418EC"/>
    <w:rsid w:val="38F442AC"/>
    <w:rsid w:val="38F924B1"/>
    <w:rsid w:val="38FA1A70"/>
    <w:rsid w:val="38FD41B8"/>
    <w:rsid w:val="39105A0A"/>
    <w:rsid w:val="39191093"/>
    <w:rsid w:val="391B76F1"/>
    <w:rsid w:val="391E2CD2"/>
    <w:rsid w:val="392245B5"/>
    <w:rsid w:val="39235BBC"/>
    <w:rsid w:val="39310741"/>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B00333"/>
    <w:rsid w:val="39B652DE"/>
    <w:rsid w:val="39BC5220"/>
    <w:rsid w:val="39C61EEB"/>
    <w:rsid w:val="39CE65BC"/>
    <w:rsid w:val="39D879D3"/>
    <w:rsid w:val="39DA1EF5"/>
    <w:rsid w:val="39DB3A6E"/>
    <w:rsid w:val="39E245E4"/>
    <w:rsid w:val="39E84CC6"/>
    <w:rsid w:val="39F01A68"/>
    <w:rsid w:val="39F32174"/>
    <w:rsid w:val="39FC179E"/>
    <w:rsid w:val="39FF17FA"/>
    <w:rsid w:val="3A014E17"/>
    <w:rsid w:val="3A066018"/>
    <w:rsid w:val="3A1C0DEC"/>
    <w:rsid w:val="3A1E0DA5"/>
    <w:rsid w:val="3A210C10"/>
    <w:rsid w:val="3A214CC6"/>
    <w:rsid w:val="3A241316"/>
    <w:rsid w:val="3A27547C"/>
    <w:rsid w:val="3A364856"/>
    <w:rsid w:val="3A3871E3"/>
    <w:rsid w:val="3A3C3C45"/>
    <w:rsid w:val="3A557D5A"/>
    <w:rsid w:val="3A63599D"/>
    <w:rsid w:val="3A641609"/>
    <w:rsid w:val="3A663EB0"/>
    <w:rsid w:val="3A680459"/>
    <w:rsid w:val="3A6C4D6B"/>
    <w:rsid w:val="3A87071A"/>
    <w:rsid w:val="3A883F0D"/>
    <w:rsid w:val="3A9B7C92"/>
    <w:rsid w:val="3A9F71C7"/>
    <w:rsid w:val="3AAB41BD"/>
    <w:rsid w:val="3AAC76F2"/>
    <w:rsid w:val="3AAD5CAC"/>
    <w:rsid w:val="3AAF045C"/>
    <w:rsid w:val="3AC53317"/>
    <w:rsid w:val="3AD8079E"/>
    <w:rsid w:val="3AD866CB"/>
    <w:rsid w:val="3ADA3FB0"/>
    <w:rsid w:val="3ADE4D3F"/>
    <w:rsid w:val="3AF05E33"/>
    <w:rsid w:val="3AF1344F"/>
    <w:rsid w:val="3B1C5B19"/>
    <w:rsid w:val="3B2301BB"/>
    <w:rsid w:val="3B294F65"/>
    <w:rsid w:val="3B2E19B7"/>
    <w:rsid w:val="3B303144"/>
    <w:rsid w:val="3B362C4D"/>
    <w:rsid w:val="3B405D2B"/>
    <w:rsid w:val="3B4D5E29"/>
    <w:rsid w:val="3B596EC3"/>
    <w:rsid w:val="3B77641F"/>
    <w:rsid w:val="3B8631C4"/>
    <w:rsid w:val="3B8A1A7E"/>
    <w:rsid w:val="3B937719"/>
    <w:rsid w:val="3B942B73"/>
    <w:rsid w:val="3B9674D7"/>
    <w:rsid w:val="3B9A7953"/>
    <w:rsid w:val="3BA20424"/>
    <w:rsid w:val="3BB335AC"/>
    <w:rsid w:val="3BB55C25"/>
    <w:rsid w:val="3BC165FE"/>
    <w:rsid w:val="3BCF1D82"/>
    <w:rsid w:val="3BD3067E"/>
    <w:rsid w:val="3BD53AB5"/>
    <w:rsid w:val="3BDF0A62"/>
    <w:rsid w:val="3BEF40B2"/>
    <w:rsid w:val="3BF363D2"/>
    <w:rsid w:val="3BFF61D4"/>
    <w:rsid w:val="3C0104C3"/>
    <w:rsid w:val="3C054F49"/>
    <w:rsid w:val="3C246233"/>
    <w:rsid w:val="3C262C87"/>
    <w:rsid w:val="3C2777C0"/>
    <w:rsid w:val="3C280DFF"/>
    <w:rsid w:val="3C32052B"/>
    <w:rsid w:val="3C3C39A0"/>
    <w:rsid w:val="3C4D127E"/>
    <w:rsid w:val="3C5A7EF6"/>
    <w:rsid w:val="3C804923"/>
    <w:rsid w:val="3C9A21AA"/>
    <w:rsid w:val="3C9D3765"/>
    <w:rsid w:val="3C9E0FAA"/>
    <w:rsid w:val="3CA30947"/>
    <w:rsid w:val="3CA5307C"/>
    <w:rsid w:val="3CAA7C47"/>
    <w:rsid w:val="3CB85542"/>
    <w:rsid w:val="3CC000F8"/>
    <w:rsid w:val="3CC236C3"/>
    <w:rsid w:val="3CC956E1"/>
    <w:rsid w:val="3CDF3D10"/>
    <w:rsid w:val="3D0154CA"/>
    <w:rsid w:val="3D0719A1"/>
    <w:rsid w:val="3D175178"/>
    <w:rsid w:val="3D277613"/>
    <w:rsid w:val="3D2B7C61"/>
    <w:rsid w:val="3D2F2FAD"/>
    <w:rsid w:val="3D3C5369"/>
    <w:rsid w:val="3D4E395C"/>
    <w:rsid w:val="3D66205D"/>
    <w:rsid w:val="3D6C38DD"/>
    <w:rsid w:val="3D6D5EA9"/>
    <w:rsid w:val="3D7004A1"/>
    <w:rsid w:val="3D7725E5"/>
    <w:rsid w:val="3D7849C8"/>
    <w:rsid w:val="3D79071F"/>
    <w:rsid w:val="3D7D0337"/>
    <w:rsid w:val="3D8039B8"/>
    <w:rsid w:val="3D88729D"/>
    <w:rsid w:val="3DA54021"/>
    <w:rsid w:val="3DA751C1"/>
    <w:rsid w:val="3DAD7118"/>
    <w:rsid w:val="3DB850D0"/>
    <w:rsid w:val="3DC60482"/>
    <w:rsid w:val="3DCE4DD0"/>
    <w:rsid w:val="3DD1719F"/>
    <w:rsid w:val="3DD171A7"/>
    <w:rsid w:val="3DD238C5"/>
    <w:rsid w:val="3DD75279"/>
    <w:rsid w:val="3DDC1724"/>
    <w:rsid w:val="3DEA716D"/>
    <w:rsid w:val="3DEC1B94"/>
    <w:rsid w:val="3E127B19"/>
    <w:rsid w:val="3E1746ED"/>
    <w:rsid w:val="3E1751E8"/>
    <w:rsid w:val="3E1A30A6"/>
    <w:rsid w:val="3E204310"/>
    <w:rsid w:val="3E2653DC"/>
    <w:rsid w:val="3E2B50D7"/>
    <w:rsid w:val="3E327F30"/>
    <w:rsid w:val="3E3758F3"/>
    <w:rsid w:val="3E41291F"/>
    <w:rsid w:val="3E4754A6"/>
    <w:rsid w:val="3E6926D3"/>
    <w:rsid w:val="3E786B14"/>
    <w:rsid w:val="3E860F10"/>
    <w:rsid w:val="3E913ADC"/>
    <w:rsid w:val="3E922B85"/>
    <w:rsid w:val="3E922D59"/>
    <w:rsid w:val="3E9A15EB"/>
    <w:rsid w:val="3EA3700C"/>
    <w:rsid w:val="3EA411EE"/>
    <w:rsid w:val="3EA452C3"/>
    <w:rsid w:val="3EAD2C67"/>
    <w:rsid w:val="3EAE6BAD"/>
    <w:rsid w:val="3EB02205"/>
    <w:rsid w:val="3EB47903"/>
    <w:rsid w:val="3EBA7113"/>
    <w:rsid w:val="3EBF0422"/>
    <w:rsid w:val="3ED219A5"/>
    <w:rsid w:val="3ED7637C"/>
    <w:rsid w:val="3EDA3A1A"/>
    <w:rsid w:val="3EDF0CF3"/>
    <w:rsid w:val="3EE8557E"/>
    <w:rsid w:val="3EED740D"/>
    <w:rsid w:val="3EF24824"/>
    <w:rsid w:val="3F0D6BFC"/>
    <w:rsid w:val="3F1630F2"/>
    <w:rsid w:val="3F286186"/>
    <w:rsid w:val="3F2C1065"/>
    <w:rsid w:val="3F2F6BD0"/>
    <w:rsid w:val="3F3151E4"/>
    <w:rsid w:val="3F3330FC"/>
    <w:rsid w:val="3F3401DF"/>
    <w:rsid w:val="3F3975E4"/>
    <w:rsid w:val="3F397D57"/>
    <w:rsid w:val="3F420F81"/>
    <w:rsid w:val="3F4C52DF"/>
    <w:rsid w:val="3F4E48BC"/>
    <w:rsid w:val="3F4F338A"/>
    <w:rsid w:val="3F4F56AB"/>
    <w:rsid w:val="3F522DFF"/>
    <w:rsid w:val="3F5C510C"/>
    <w:rsid w:val="3F625608"/>
    <w:rsid w:val="3F652B34"/>
    <w:rsid w:val="3F9529AF"/>
    <w:rsid w:val="3F9819C8"/>
    <w:rsid w:val="3FAA401E"/>
    <w:rsid w:val="3FB1447F"/>
    <w:rsid w:val="3FC35AFC"/>
    <w:rsid w:val="3FC41983"/>
    <w:rsid w:val="3FD1414D"/>
    <w:rsid w:val="3FD700C5"/>
    <w:rsid w:val="3FD81218"/>
    <w:rsid w:val="3FDF4343"/>
    <w:rsid w:val="3FE0724A"/>
    <w:rsid w:val="3FEB513A"/>
    <w:rsid w:val="3FF25C28"/>
    <w:rsid w:val="3FF35E75"/>
    <w:rsid w:val="3FF5402E"/>
    <w:rsid w:val="3FFE714E"/>
    <w:rsid w:val="400406D1"/>
    <w:rsid w:val="400479C3"/>
    <w:rsid w:val="40184548"/>
    <w:rsid w:val="40264D80"/>
    <w:rsid w:val="40291A02"/>
    <w:rsid w:val="402F7751"/>
    <w:rsid w:val="40404B79"/>
    <w:rsid w:val="4042330C"/>
    <w:rsid w:val="404358BE"/>
    <w:rsid w:val="40504A5A"/>
    <w:rsid w:val="40797278"/>
    <w:rsid w:val="408D3A61"/>
    <w:rsid w:val="408E3720"/>
    <w:rsid w:val="40912007"/>
    <w:rsid w:val="409672FB"/>
    <w:rsid w:val="409B357D"/>
    <w:rsid w:val="409D7280"/>
    <w:rsid w:val="409F5F96"/>
    <w:rsid w:val="40A115F2"/>
    <w:rsid w:val="40A411E1"/>
    <w:rsid w:val="40AB41C1"/>
    <w:rsid w:val="40B43BF9"/>
    <w:rsid w:val="40BC2DF7"/>
    <w:rsid w:val="40C520B7"/>
    <w:rsid w:val="40CE14CF"/>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6E59E3"/>
    <w:rsid w:val="417C4EC1"/>
    <w:rsid w:val="41820704"/>
    <w:rsid w:val="418B2D01"/>
    <w:rsid w:val="41904377"/>
    <w:rsid w:val="41972578"/>
    <w:rsid w:val="419A63AC"/>
    <w:rsid w:val="41A664B7"/>
    <w:rsid w:val="41B119D5"/>
    <w:rsid w:val="41B601E7"/>
    <w:rsid w:val="41CF3C25"/>
    <w:rsid w:val="41D43187"/>
    <w:rsid w:val="41D622EE"/>
    <w:rsid w:val="41DF5CBF"/>
    <w:rsid w:val="41E14722"/>
    <w:rsid w:val="41E83086"/>
    <w:rsid w:val="41EB174A"/>
    <w:rsid w:val="41FE1C50"/>
    <w:rsid w:val="420A4CDA"/>
    <w:rsid w:val="420A7237"/>
    <w:rsid w:val="42170741"/>
    <w:rsid w:val="42177507"/>
    <w:rsid w:val="42182236"/>
    <w:rsid w:val="42204CE4"/>
    <w:rsid w:val="42226713"/>
    <w:rsid w:val="422B2BA1"/>
    <w:rsid w:val="422E595B"/>
    <w:rsid w:val="4231785A"/>
    <w:rsid w:val="4235332E"/>
    <w:rsid w:val="424F75ED"/>
    <w:rsid w:val="42584818"/>
    <w:rsid w:val="425D1AEE"/>
    <w:rsid w:val="425E2981"/>
    <w:rsid w:val="427E48C1"/>
    <w:rsid w:val="428317A8"/>
    <w:rsid w:val="42926048"/>
    <w:rsid w:val="429819E4"/>
    <w:rsid w:val="429B49B3"/>
    <w:rsid w:val="429B6E22"/>
    <w:rsid w:val="429C6B61"/>
    <w:rsid w:val="42A24EAD"/>
    <w:rsid w:val="42B1297F"/>
    <w:rsid w:val="42B34A1F"/>
    <w:rsid w:val="42B86E9B"/>
    <w:rsid w:val="42BD444E"/>
    <w:rsid w:val="42BF4C55"/>
    <w:rsid w:val="42C03D90"/>
    <w:rsid w:val="42C65434"/>
    <w:rsid w:val="42C845D8"/>
    <w:rsid w:val="42D65F34"/>
    <w:rsid w:val="42DC40D1"/>
    <w:rsid w:val="42E61A74"/>
    <w:rsid w:val="42F91034"/>
    <w:rsid w:val="43262E27"/>
    <w:rsid w:val="432A3936"/>
    <w:rsid w:val="43385A51"/>
    <w:rsid w:val="434841F7"/>
    <w:rsid w:val="434D6B99"/>
    <w:rsid w:val="434F41CD"/>
    <w:rsid w:val="43524A05"/>
    <w:rsid w:val="435C7492"/>
    <w:rsid w:val="435D001C"/>
    <w:rsid w:val="437F792B"/>
    <w:rsid w:val="438547B6"/>
    <w:rsid w:val="43871CB4"/>
    <w:rsid w:val="43A63D98"/>
    <w:rsid w:val="43AB188A"/>
    <w:rsid w:val="43AF08D6"/>
    <w:rsid w:val="43B04917"/>
    <w:rsid w:val="43BE214E"/>
    <w:rsid w:val="43D64249"/>
    <w:rsid w:val="43E46084"/>
    <w:rsid w:val="43E92A8F"/>
    <w:rsid w:val="43ED298C"/>
    <w:rsid w:val="43EF2991"/>
    <w:rsid w:val="43F4696E"/>
    <w:rsid w:val="44165D6C"/>
    <w:rsid w:val="44180FBB"/>
    <w:rsid w:val="44261423"/>
    <w:rsid w:val="442D4378"/>
    <w:rsid w:val="44394415"/>
    <w:rsid w:val="443B708A"/>
    <w:rsid w:val="444C4A19"/>
    <w:rsid w:val="4450366B"/>
    <w:rsid w:val="445141B4"/>
    <w:rsid w:val="4455118A"/>
    <w:rsid w:val="445635EB"/>
    <w:rsid w:val="44596EF7"/>
    <w:rsid w:val="44597BEE"/>
    <w:rsid w:val="447A4753"/>
    <w:rsid w:val="44877CD6"/>
    <w:rsid w:val="448B4DB3"/>
    <w:rsid w:val="44A70E24"/>
    <w:rsid w:val="44CD05ED"/>
    <w:rsid w:val="44DD300E"/>
    <w:rsid w:val="44E2656D"/>
    <w:rsid w:val="44EC169C"/>
    <w:rsid w:val="44F11452"/>
    <w:rsid w:val="44FF451E"/>
    <w:rsid w:val="450E6E58"/>
    <w:rsid w:val="45176B7A"/>
    <w:rsid w:val="45177BA4"/>
    <w:rsid w:val="451C551F"/>
    <w:rsid w:val="451F3CCA"/>
    <w:rsid w:val="45341196"/>
    <w:rsid w:val="45492E86"/>
    <w:rsid w:val="45493A4F"/>
    <w:rsid w:val="454E4188"/>
    <w:rsid w:val="45551219"/>
    <w:rsid w:val="45553167"/>
    <w:rsid w:val="455B7427"/>
    <w:rsid w:val="45727755"/>
    <w:rsid w:val="45863F5C"/>
    <w:rsid w:val="45965757"/>
    <w:rsid w:val="45976268"/>
    <w:rsid w:val="45BA5028"/>
    <w:rsid w:val="45BB0276"/>
    <w:rsid w:val="45C95256"/>
    <w:rsid w:val="45CA6C10"/>
    <w:rsid w:val="45CC6892"/>
    <w:rsid w:val="45CE5804"/>
    <w:rsid w:val="45D01294"/>
    <w:rsid w:val="45DA4126"/>
    <w:rsid w:val="45DB3F2A"/>
    <w:rsid w:val="45DC1DF8"/>
    <w:rsid w:val="45E03532"/>
    <w:rsid w:val="45FB48CF"/>
    <w:rsid w:val="460076E6"/>
    <w:rsid w:val="46065886"/>
    <w:rsid w:val="4607556A"/>
    <w:rsid w:val="460974BC"/>
    <w:rsid w:val="461130BF"/>
    <w:rsid w:val="4617419F"/>
    <w:rsid w:val="46246925"/>
    <w:rsid w:val="462B5D44"/>
    <w:rsid w:val="462D5957"/>
    <w:rsid w:val="462E6F30"/>
    <w:rsid w:val="463354F6"/>
    <w:rsid w:val="463546D0"/>
    <w:rsid w:val="465346A2"/>
    <w:rsid w:val="46586687"/>
    <w:rsid w:val="466309D9"/>
    <w:rsid w:val="466A2150"/>
    <w:rsid w:val="466D3B0A"/>
    <w:rsid w:val="466E793A"/>
    <w:rsid w:val="46844FFB"/>
    <w:rsid w:val="46864313"/>
    <w:rsid w:val="468C1039"/>
    <w:rsid w:val="468C15DE"/>
    <w:rsid w:val="468F344C"/>
    <w:rsid w:val="469E2402"/>
    <w:rsid w:val="46AA294E"/>
    <w:rsid w:val="46C62294"/>
    <w:rsid w:val="46CE17A4"/>
    <w:rsid w:val="46D81406"/>
    <w:rsid w:val="46D906C6"/>
    <w:rsid w:val="46EE3AEB"/>
    <w:rsid w:val="47050296"/>
    <w:rsid w:val="470A5361"/>
    <w:rsid w:val="47180E24"/>
    <w:rsid w:val="471866FB"/>
    <w:rsid w:val="471C076F"/>
    <w:rsid w:val="471C5343"/>
    <w:rsid w:val="471D00F5"/>
    <w:rsid w:val="471D243C"/>
    <w:rsid w:val="472022E1"/>
    <w:rsid w:val="472406DF"/>
    <w:rsid w:val="47296DF8"/>
    <w:rsid w:val="472D3683"/>
    <w:rsid w:val="47387791"/>
    <w:rsid w:val="473B416A"/>
    <w:rsid w:val="473B7E9E"/>
    <w:rsid w:val="47403AF2"/>
    <w:rsid w:val="47453C8F"/>
    <w:rsid w:val="4748211F"/>
    <w:rsid w:val="475B3378"/>
    <w:rsid w:val="475C5C59"/>
    <w:rsid w:val="47632541"/>
    <w:rsid w:val="4766347D"/>
    <w:rsid w:val="4768499E"/>
    <w:rsid w:val="47715F93"/>
    <w:rsid w:val="47875918"/>
    <w:rsid w:val="478D4609"/>
    <w:rsid w:val="478D6A12"/>
    <w:rsid w:val="47962309"/>
    <w:rsid w:val="47986424"/>
    <w:rsid w:val="479C610A"/>
    <w:rsid w:val="47A32AF0"/>
    <w:rsid w:val="47AF032C"/>
    <w:rsid w:val="47BA0CEF"/>
    <w:rsid w:val="47E24056"/>
    <w:rsid w:val="47E65C1A"/>
    <w:rsid w:val="47EA4D37"/>
    <w:rsid w:val="47EC146A"/>
    <w:rsid w:val="47FF6106"/>
    <w:rsid w:val="48004D76"/>
    <w:rsid w:val="480140FE"/>
    <w:rsid w:val="48181444"/>
    <w:rsid w:val="481D74A2"/>
    <w:rsid w:val="481E4667"/>
    <w:rsid w:val="4822672A"/>
    <w:rsid w:val="482B357D"/>
    <w:rsid w:val="48334280"/>
    <w:rsid w:val="48382E4F"/>
    <w:rsid w:val="48386782"/>
    <w:rsid w:val="4839372F"/>
    <w:rsid w:val="48406A1E"/>
    <w:rsid w:val="48455013"/>
    <w:rsid w:val="484726A4"/>
    <w:rsid w:val="484B7369"/>
    <w:rsid w:val="48587D09"/>
    <w:rsid w:val="487274B4"/>
    <w:rsid w:val="487C2EB0"/>
    <w:rsid w:val="487F714C"/>
    <w:rsid w:val="48811612"/>
    <w:rsid w:val="48822F78"/>
    <w:rsid w:val="488818E0"/>
    <w:rsid w:val="48A52AD9"/>
    <w:rsid w:val="48AE426D"/>
    <w:rsid w:val="48B45B37"/>
    <w:rsid w:val="48C8760E"/>
    <w:rsid w:val="48D97A24"/>
    <w:rsid w:val="48E06989"/>
    <w:rsid w:val="48E2763C"/>
    <w:rsid w:val="48E92C88"/>
    <w:rsid w:val="48EB1D85"/>
    <w:rsid w:val="48F42DB3"/>
    <w:rsid w:val="48FC51E1"/>
    <w:rsid w:val="49010EAB"/>
    <w:rsid w:val="49282A41"/>
    <w:rsid w:val="4939086B"/>
    <w:rsid w:val="494C141C"/>
    <w:rsid w:val="4954359E"/>
    <w:rsid w:val="49560E44"/>
    <w:rsid w:val="49605AC3"/>
    <w:rsid w:val="4972102A"/>
    <w:rsid w:val="49821D8D"/>
    <w:rsid w:val="498419A8"/>
    <w:rsid w:val="4987544D"/>
    <w:rsid w:val="498C49B3"/>
    <w:rsid w:val="498D16DA"/>
    <w:rsid w:val="49995BD6"/>
    <w:rsid w:val="499A7FC9"/>
    <w:rsid w:val="49AE3D92"/>
    <w:rsid w:val="49BF133E"/>
    <w:rsid w:val="49BF2772"/>
    <w:rsid w:val="49C128B7"/>
    <w:rsid w:val="49C15E4E"/>
    <w:rsid w:val="49C47EBE"/>
    <w:rsid w:val="49C55CAD"/>
    <w:rsid w:val="49CA225D"/>
    <w:rsid w:val="49D270B8"/>
    <w:rsid w:val="49E9240A"/>
    <w:rsid w:val="49EB3D63"/>
    <w:rsid w:val="49EE7969"/>
    <w:rsid w:val="4A117E90"/>
    <w:rsid w:val="4A1203E3"/>
    <w:rsid w:val="4A14415E"/>
    <w:rsid w:val="4A284C00"/>
    <w:rsid w:val="4A2F6A02"/>
    <w:rsid w:val="4A3509A5"/>
    <w:rsid w:val="4A3C31F7"/>
    <w:rsid w:val="4A3E054A"/>
    <w:rsid w:val="4A4A273E"/>
    <w:rsid w:val="4A4A4E86"/>
    <w:rsid w:val="4A863FBD"/>
    <w:rsid w:val="4A8674C9"/>
    <w:rsid w:val="4A870BFB"/>
    <w:rsid w:val="4A892CB4"/>
    <w:rsid w:val="4A9657FA"/>
    <w:rsid w:val="4AA01CFD"/>
    <w:rsid w:val="4AA038B4"/>
    <w:rsid w:val="4AA27D8E"/>
    <w:rsid w:val="4AA63956"/>
    <w:rsid w:val="4AA927DF"/>
    <w:rsid w:val="4AAA17BF"/>
    <w:rsid w:val="4AB450E7"/>
    <w:rsid w:val="4ABD2CBE"/>
    <w:rsid w:val="4ACA49FA"/>
    <w:rsid w:val="4ACC15C6"/>
    <w:rsid w:val="4ACC17F6"/>
    <w:rsid w:val="4AD60806"/>
    <w:rsid w:val="4AE8469B"/>
    <w:rsid w:val="4AED30D2"/>
    <w:rsid w:val="4AF05435"/>
    <w:rsid w:val="4AFE1C1B"/>
    <w:rsid w:val="4B341BE1"/>
    <w:rsid w:val="4B4F1E2D"/>
    <w:rsid w:val="4B503DE9"/>
    <w:rsid w:val="4B5259DB"/>
    <w:rsid w:val="4B592E57"/>
    <w:rsid w:val="4B5E33E5"/>
    <w:rsid w:val="4B61434A"/>
    <w:rsid w:val="4B731311"/>
    <w:rsid w:val="4B903AF5"/>
    <w:rsid w:val="4B9334FC"/>
    <w:rsid w:val="4B9A2375"/>
    <w:rsid w:val="4BA754D9"/>
    <w:rsid w:val="4BA827DF"/>
    <w:rsid w:val="4BAD17E4"/>
    <w:rsid w:val="4BAF7B70"/>
    <w:rsid w:val="4BFE77EE"/>
    <w:rsid w:val="4C0D0455"/>
    <w:rsid w:val="4C1F5374"/>
    <w:rsid w:val="4C1F7A5B"/>
    <w:rsid w:val="4C4048FC"/>
    <w:rsid w:val="4C6B4571"/>
    <w:rsid w:val="4C6C640D"/>
    <w:rsid w:val="4C722515"/>
    <w:rsid w:val="4C804ECE"/>
    <w:rsid w:val="4C894A92"/>
    <w:rsid w:val="4C903253"/>
    <w:rsid w:val="4C983FA4"/>
    <w:rsid w:val="4C9A5F96"/>
    <w:rsid w:val="4C9B7DE3"/>
    <w:rsid w:val="4C9F7E3C"/>
    <w:rsid w:val="4CA178A3"/>
    <w:rsid w:val="4CA9023C"/>
    <w:rsid w:val="4CAC4AF4"/>
    <w:rsid w:val="4CB144C1"/>
    <w:rsid w:val="4CB3138C"/>
    <w:rsid w:val="4CBA3AE5"/>
    <w:rsid w:val="4CBE1543"/>
    <w:rsid w:val="4CBE4760"/>
    <w:rsid w:val="4CCC2062"/>
    <w:rsid w:val="4CCE1294"/>
    <w:rsid w:val="4CEB24FA"/>
    <w:rsid w:val="4CF30464"/>
    <w:rsid w:val="4CF86DA4"/>
    <w:rsid w:val="4CFB2CB0"/>
    <w:rsid w:val="4D020DA5"/>
    <w:rsid w:val="4D0D52CB"/>
    <w:rsid w:val="4D123792"/>
    <w:rsid w:val="4D225AB9"/>
    <w:rsid w:val="4D2E312B"/>
    <w:rsid w:val="4D32348A"/>
    <w:rsid w:val="4D3E0B9C"/>
    <w:rsid w:val="4D566C49"/>
    <w:rsid w:val="4D6037A5"/>
    <w:rsid w:val="4D6A24D3"/>
    <w:rsid w:val="4D6B6587"/>
    <w:rsid w:val="4D743AA4"/>
    <w:rsid w:val="4D834946"/>
    <w:rsid w:val="4D846E33"/>
    <w:rsid w:val="4D8A1D4B"/>
    <w:rsid w:val="4D993267"/>
    <w:rsid w:val="4DA1355F"/>
    <w:rsid w:val="4DA537BB"/>
    <w:rsid w:val="4DA53A8B"/>
    <w:rsid w:val="4DA62BFC"/>
    <w:rsid w:val="4DB41DA1"/>
    <w:rsid w:val="4DBB336E"/>
    <w:rsid w:val="4DBE6815"/>
    <w:rsid w:val="4DC16978"/>
    <w:rsid w:val="4DD16463"/>
    <w:rsid w:val="4DD652B5"/>
    <w:rsid w:val="4DD81F1E"/>
    <w:rsid w:val="4DD92250"/>
    <w:rsid w:val="4DDF6A3A"/>
    <w:rsid w:val="4DF67531"/>
    <w:rsid w:val="4DF9062B"/>
    <w:rsid w:val="4E014EF8"/>
    <w:rsid w:val="4E066E93"/>
    <w:rsid w:val="4E075658"/>
    <w:rsid w:val="4E0D6F7B"/>
    <w:rsid w:val="4E1D7E77"/>
    <w:rsid w:val="4E2126E6"/>
    <w:rsid w:val="4E236A05"/>
    <w:rsid w:val="4E30585B"/>
    <w:rsid w:val="4E32125A"/>
    <w:rsid w:val="4E51451A"/>
    <w:rsid w:val="4E5A482E"/>
    <w:rsid w:val="4E631526"/>
    <w:rsid w:val="4E63395B"/>
    <w:rsid w:val="4E686513"/>
    <w:rsid w:val="4E7D60BC"/>
    <w:rsid w:val="4E91581D"/>
    <w:rsid w:val="4E921385"/>
    <w:rsid w:val="4E954322"/>
    <w:rsid w:val="4E9977C9"/>
    <w:rsid w:val="4EA62899"/>
    <w:rsid w:val="4EDD62E6"/>
    <w:rsid w:val="4EDE397C"/>
    <w:rsid w:val="4EF562A5"/>
    <w:rsid w:val="4EF614BA"/>
    <w:rsid w:val="4EF62402"/>
    <w:rsid w:val="4F087D26"/>
    <w:rsid w:val="4F35630A"/>
    <w:rsid w:val="4F362E18"/>
    <w:rsid w:val="4F3F0003"/>
    <w:rsid w:val="4F497B36"/>
    <w:rsid w:val="4F513B54"/>
    <w:rsid w:val="4F540B41"/>
    <w:rsid w:val="4F547EAA"/>
    <w:rsid w:val="4F565884"/>
    <w:rsid w:val="4F5A6E3D"/>
    <w:rsid w:val="4F61484A"/>
    <w:rsid w:val="4F815846"/>
    <w:rsid w:val="4F832885"/>
    <w:rsid w:val="4F8920F3"/>
    <w:rsid w:val="4F9039FE"/>
    <w:rsid w:val="4FAA20BA"/>
    <w:rsid w:val="4FB5670E"/>
    <w:rsid w:val="4FBC0BE9"/>
    <w:rsid w:val="4FBE2BCB"/>
    <w:rsid w:val="4FC328FD"/>
    <w:rsid w:val="4FC43ABB"/>
    <w:rsid w:val="4FCA6DC2"/>
    <w:rsid w:val="4FE02223"/>
    <w:rsid w:val="4FF72B07"/>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1F03"/>
    <w:rsid w:val="5071187C"/>
    <w:rsid w:val="5089260D"/>
    <w:rsid w:val="50895295"/>
    <w:rsid w:val="50896980"/>
    <w:rsid w:val="5098572F"/>
    <w:rsid w:val="509C5AFA"/>
    <w:rsid w:val="50A40755"/>
    <w:rsid w:val="50B906DF"/>
    <w:rsid w:val="50C7665C"/>
    <w:rsid w:val="50D62D9E"/>
    <w:rsid w:val="50DD515E"/>
    <w:rsid w:val="50F018D3"/>
    <w:rsid w:val="50F47A17"/>
    <w:rsid w:val="50FC3D68"/>
    <w:rsid w:val="51083B1C"/>
    <w:rsid w:val="51106EBD"/>
    <w:rsid w:val="51116C5C"/>
    <w:rsid w:val="51186119"/>
    <w:rsid w:val="511A6082"/>
    <w:rsid w:val="51205057"/>
    <w:rsid w:val="51250056"/>
    <w:rsid w:val="512A627B"/>
    <w:rsid w:val="51326B0B"/>
    <w:rsid w:val="51336612"/>
    <w:rsid w:val="513D38A6"/>
    <w:rsid w:val="513D5F90"/>
    <w:rsid w:val="51456AF4"/>
    <w:rsid w:val="515C1DCC"/>
    <w:rsid w:val="51657C34"/>
    <w:rsid w:val="517331DB"/>
    <w:rsid w:val="51790E28"/>
    <w:rsid w:val="517C7028"/>
    <w:rsid w:val="519634A4"/>
    <w:rsid w:val="519B6609"/>
    <w:rsid w:val="519B7DCF"/>
    <w:rsid w:val="519E5A25"/>
    <w:rsid w:val="51A966A2"/>
    <w:rsid w:val="51B858B2"/>
    <w:rsid w:val="51BE6CEC"/>
    <w:rsid w:val="51C26588"/>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A35B0"/>
    <w:rsid w:val="52D27A41"/>
    <w:rsid w:val="52DC5FDB"/>
    <w:rsid w:val="52DD15C5"/>
    <w:rsid w:val="52EE7DBE"/>
    <w:rsid w:val="52F34D2A"/>
    <w:rsid w:val="52F63B4F"/>
    <w:rsid w:val="53082F2C"/>
    <w:rsid w:val="530E35EF"/>
    <w:rsid w:val="53131C59"/>
    <w:rsid w:val="531C008E"/>
    <w:rsid w:val="53227978"/>
    <w:rsid w:val="53266ED2"/>
    <w:rsid w:val="53286C71"/>
    <w:rsid w:val="532F6B09"/>
    <w:rsid w:val="53345BA9"/>
    <w:rsid w:val="53396085"/>
    <w:rsid w:val="534A7EEE"/>
    <w:rsid w:val="534C63B0"/>
    <w:rsid w:val="53670639"/>
    <w:rsid w:val="53686CBB"/>
    <w:rsid w:val="53951403"/>
    <w:rsid w:val="53981FA0"/>
    <w:rsid w:val="53B84C8E"/>
    <w:rsid w:val="53BD274E"/>
    <w:rsid w:val="53CC784F"/>
    <w:rsid w:val="53D54E37"/>
    <w:rsid w:val="53DE487B"/>
    <w:rsid w:val="53E65701"/>
    <w:rsid w:val="53F52A77"/>
    <w:rsid w:val="53FD5774"/>
    <w:rsid w:val="540C0C1E"/>
    <w:rsid w:val="5414272D"/>
    <w:rsid w:val="541B3A0C"/>
    <w:rsid w:val="541C45DB"/>
    <w:rsid w:val="54287BBA"/>
    <w:rsid w:val="542E6AAF"/>
    <w:rsid w:val="543D68D9"/>
    <w:rsid w:val="54482B1B"/>
    <w:rsid w:val="54594A5E"/>
    <w:rsid w:val="54642038"/>
    <w:rsid w:val="546F7A15"/>
    <w:rsid w:val="54703817"/>
    <w:rsid w:val="54735D85"/>
    <w:rsid w:val="548013A3"/>
    <w:rsid w:val="54871B54"/>
    <w:rsid w:val="54874106"/>
    <w:rsid w:val="549605A3"/>
    <w:rsid w:val="549F3EDE"/>
    <w:rsid w:val="54AA3CD9"/>
    <w:rsid w:val="54B76615"/>
    <w:rsid w:val="54C96C83"/>
    <w:rsid w:val="54D31B63"/>
    <w:rsid w:val="54D3249E"/>
    <w:rsid w:val="54E025CB"/>
    <w:rsid w:val="54EA3219"/>
    <w:rsid w:val="54FA15F8"/>
    <w:rsid w:val="550118A5"/>
    <w:rsid w:val="550F3F04"/>
    <w:rsid w:val="5517071E"/>
    <w:rsid w:val="55222FC6"/>
    <w:rsid w:val="552B7848"/>
    <w:rsid w:val="554860F4"/>
    <w:rsid w:val="555111B5"/>
    <w:rsid w:val="55582F0D"/>
    <w:rsid w:val="555C5BC0"/>
    <w:rsid w:val="555E6BA7"/>
    <w:rsid w:val="55670C30"/>
    <w:rsid w:val="556E2ECA"/>
    <w:rsid w:val="557A16A0"/>
    <w:rsid w:val="55860449"/>
    <w:rsid w:val="558F6278"/>
    <w:rsid w:val="559719B0"/>
    <w:rsid w:val="559A22C4"/>
    <w:rsid w:val="559B2D2A"/>
    <w:rsid w:val="559C2F3F"/>
    <w:rsid w:val="559F228F"/>
    <w:rsid w:val="55A37471"/>
    <w:rsid w:val="55A67EE8"/>
    <w:rsid w:val="55A8155A"/>
    <w:rsid w:val="55B54251"/>
    <w:rsid w:val="55B85DCC"/>
    <w:rsid w:val="55CC42BE"/>
    <w:rsid w:val="55D00DC0"/>
    <w:rsid w:val="55E8090D"/>
    <w:rsid w:val="55ED318A"/>
    <w:rsid w:val="55ED40E4"/>
    <w:rsid w:val="55FF651E"/>
    <w:rsid w:val="56060266"/>
    <w:rsid w:val="560C4016"/>
    <w:rsid w:val="561A16CF"/>
    <w:rsid w:val="562A1609"/>
    <w:rsid w:val="563F74A4"/>
    <w:rsid w:val="566B53D2"/>
    <w:rsid w:val="566F4558"/>
    <w:rsid w:val="56715C12"/>
    <w:rsid w:val="56776B72"/>
    <w:rsid w:val="567B1141"/>
    <w:rsid w:val="567B56A9"/>
    <w:rsid w:val="5681373E"/>
    <w:rsid w:val="569429E0"/>
    <w:rsid w:val="56991451"/>
    <w:rsid w:val="569A3398"/>
    <w:rsid w:val="569D6C7E"/>
    <w:rsid w:val="56A72C4E"/>
    <w:rsid w:val="56A7418C"/>
    <w:rsid w:val="56AD7471"/>
    <w:rsid w:val="56B37495"/>
    <w:rsid w:val="56B5403A"/>
    <w:rsid w:val="56C866A7"/>
    <w:rsid w:val="56EB3361"/>
    <w:rsid w:val="56F40954"/>
    <w:rsid w:val="56F72F30"/>
    <w:rsid w:val="570D256E"/>
    <w:rsid w:val="571100FC"/>
    <w:rsid w:val="571635F3"/>
    <w:rsid w:val="57254BE7"/>
    <w:rsid w:val="57301450"/>
    <w:rsid w:val="57393CE5"/>
    <w:rsid w:val="573F6CF7"/>
    <w:rsid w:val="57486ED7"/>
    <w:rsid w:val="574D339C"/>
    <w:rsid w:val="5753468B"/>
    <w:rsid w:val="575B3101"/>
    <w:rsid w:val="575C2CCB"/>
    <w:rsid w:val="575C36F6"/>
    <w:rsid w:val="5760479D"/>
    <w:rsid w:val="576353F3"/>
    <w:rsid w:val="576B32B2"/>
    <w:rsid w:val="576D43D6"/>
    <w:rsid w:val="57720D87"/>
    <w:rsid w:val="57792DAF"/>
    <w:rsid w:val="5779650A"/>
    <w:rsid w:val="57827964"/>
    <w:rsid w:val="57893931"/>
    <w:rsid w:val="57907814"/>
    <w:rsid w:val="579A0E8F"/>
    <w:rsid w:val="57A31384"/>
    <w:rsid w:val="57A92490"/>
    <w:rsid w:val="57B11185"/>
    <w:rsid w:val="57B3500B"/>
    <w:rsid w:val="57BA33E6"/>
    <w:rsid w:val="57C451DA"/>
    <w:rsid w:val="57CB3D60"/>
    <w:rsid w:val="57E12441"/>
    <w:rsid w:val="57E52AC8"/>
    <w:rsid w:val="57F25C54"/>
    <w:rsid w:val="58037259"/>
    <w:rsid w:val="580B1E0B"/>
    <w:rsid w:val="58164A86"/>
    <w:rsid w:val="58224F50"/>
    <w:rsid w:val="582E7015"/>
    <w:rsid w:val="58306057"/>
    <w:rsid w:val="58357DB8"/>
    <w:rsid w:val="584410CC"/>
    <w:rsid w:val="584A1348"/>
    <w:rsid w:val="584A5363"/>
    <w:rsid w:val="58547CEB"/>
    <w:rsid w:val="585712B7"/>
    <w:rsid w:val="58603614"/>
    <w:rsid w:val="58615E6E"/>
    <w:rsid w:val="58635793"/>
    <w:rsid w:val="586A36EE"/>
    <w:rsid w:val="58767D5A"/>
    <w:rsid w:val="58826B95"/>
    <w:rsid w:val="588C11D6"/>
    <w:rsid w:val="58C16B43"/>
    <w:rsid w:val="58C5738A"/>
    <w:rsid w:val="58CD1F3D"/>
    <w:rsid w:val="58D17534"/>
    <w:rsid w:val="58E30231"/>
    <w:rsid w:val="58EF47AD"/>
    <w:rsid w:val="58F11B70"/>
    <w:rsid w:val="59033141"/>
    <w:rsid w:val="591012B9"/>
    <w:rsid w:val="591459A0"/>
    <w:rsid w:val="591E103A"/>
    <w:rsid w:val="592251F8"/>
    <w:rsid w:val="592A36F8"/>
    <w:rsid w:val="5930512A"/>
    <w:rsid w:val="5940227C"/>
    <w:rsid w:val="594409C9"/>
    <w:rsid w:val="59477195"/>
    <w:rsid w:val="59491402"/>
    <w:rsid w:val="59491AE0"/>
    <w:rsid w:val="594C398F"/>
    <w:rsid w:val="594F0C2A"/>
    <w:rsid w:val="594F459C"/>
    <w:rsid w:val="59560B9C"/>
    <w:rsid w:val="595C25C6"/>
    <w:rsid w:val="595E1632"/>
    <w:rsid w:val="595F13E9"/>
    <w:rsid w:val="59785D4E"/>
    <w:rsid w:val="597E2527"/>
    <w:rsid w:val="59867F62"/>
    <w:rsid w:val="598D1D80"/>
    <w:rsid w:val="598D7571"/>
    <w:rsid w:val="59922A1A"/>
    <w:rsid w:val="599D32C2"/>
    <w:rsid w:val="59A60C49"/>
    <w:rsid w:val="59A84CD5"/>
    <w:rsid w:val="59A91209"/>
    <w:rsid w:val="59AB0581"/>
    <w:rsid w:val="59C9133B"/>
    <w:rsid w:val="59CA0DF6"/>
    <w:rsid w:val="59CB24B8"/>
    <w:rsid w:val="59CB786B"/>
    <w:rsid w:val="59CD2536"/>
    <w:rsid w:val="59D05539"/>
    <w:rsid w:val="59E12D2E"/>
    <w:rsid w:val="59E52A0A"/>
    <w:rsid w:val="59E56E97"/>
    <w:rsid w:val="59EE0B0E"/>
    <w:rsid w:val="59EF52ED"/>
    <w:rsid w:val="59F378E0"/>
    <w:rsid w:val="5A03208B"/>
    <w:rsid w:val="5A11498E"/>
    <w:rsid w:val="5A120820"/>
    <w:rsid w:val="5A1B27B8"/>
    <w:rsid w:val="5A3060B4"/>
    <w:rsid w:val="5A392B8C"/>
    <w:rsid w:val="5A41505E"/>
    <w:rsid w:val="5A4578DD"/>
    <w:rsid w:val="5A48770F"/>
    <w:rsid w:val="5A591CC4"/>
    <w:rsid w:val="5A5D0194"/>
    <w:rsid w:val="5A5D695E"/>
    <w:rsid w:val="5A60385B"/>
    <w:rsid w:val="5A646B5B"/>
    <w:rsid w:val="5A6A6D0D"/>
    <w:rsid w:val="5A794AB3"/>
    <w:rsid w:val="5A796238"/>
    <w:rsid w:val="5A860817"/>
    <w:rsid w:val="5AA60823"/>
    <w:rsid w:val="5AB5170D"/>
    <w:rsid w:val="5AC608F3"/>
    <w:rsid w:val="5ACA2411"/>
    <w:rsid w:val="5AD93B72"/>
    <w:rsid w:val="5AD9459C"/>
    <w:rsid w:val="5AE31485"/>
    <w:rsid w:val="5AE943A1"/>
    <w:rsid w:val="5AF626D8"/>
    <w:rsid w:val="5AF62900"/>
    <w:rsid w:val="5AFC40F3"/>
    <w:rsid w:val="5B053218"/>
    <w:rsid w:val="5B0D46E9"/>
    <w:rsid w:val="5B124480"/>
    <w:rsid w:val="5B1C187C"/>
    <w:rsid w:val="5B22062D"/>
    <w:rsid w:val="5B241C6D"/>
    <w:rsid w:val="5B2B355B"/>
    <w:rsid w:val="5B3D6D70"/>
    <w:rsid w:val="5B3E3090"/>
    <w:rsid w:val="5B413ED9"/>
    <w:rsid w:val="5B4219B2"/>
    <w:rsid w:val="5B437EEA"/>
    <w:rsid w:val="5B666F69"/>
    <w:rsid w:val="5B686031"/>
    <w:rsid w:val="5B736DFC"/>
    <w:rsid w:val="5B74248A"/>
    <w:rsid w:val="5B7C3A7D"/>
    <w:rsid w:val="5B7D4518"/>
    <w:rsid w:val="5B8675CA"/>
    <w:rsid w:val="5B8E5661"/>
    <w:rsid w:val="5B8F0C2B"/>
    <w:rsid w:val="5B9042E8"/>
    <w:rsid w:val="5B9671CE"/>
    <w:rsid w:val="5BA652CD"/>
    <w:rsid w:val="5BA842E0"/>
    <w:rsid w:val="5BCC5CC5"/>
    <w:rsid w:val="5BDA1A02"/>
    <w:rsid w:val="5BDA3815"/>
    <w:rsid w:val="5BE2138D"/>
    <w:rsid w:val="5C0A270F"/>
    <w:rsid w:val="5C0A6081"/>
    <w:rsid w:val="5C100E26"/>
    <w:rsid w:val="5C115B42"/>
    <w:rsid w:val="5C153EE3"/>
    <w:rsid w:val="5C1C1366"/>
    <w:rsid w:val="5C1E0588"/>
    <w:rsid w:val="5C1E1EAC"/>
    <w:rsid w:val="5C3106D1"/>
    <w:rsid w:val="5C3C592F"/>
    <w:rsid w:val="5C4C3CC9"/>
    <w:rsid w:val="5C5C59BB"/>
    <w:rsid w:val="5C5D24E7"/>
    <w:rsid w:val="5C69536C"/>
    <w:rsid w:val="5C6A1E8C"/>
    <w:rsid w:val="5C6F3AA2"/>
    <w:rsid w:val="5C702A89"/>
    <w:rsid w:val="5C7C08A2"/>
    <w:rsid w:val="5C85298F"/>
    <w:rsid w:val="5C8F5E3B"/>
    <w:rsid w:val="5C9D43AC"/>
    <w:rsid w:val="5CA565E2"/>
    <w:rsid w:val="5CCB542C"/>
    <w:rsid w:val="5CDA74F9"/>
    <w:rsid w:val="5CDC182C"/>
    <w:rsid w:val="5CDC5778"/>
    <w:rsid w:val="5CDC65F4"/>
    <w:rsid w:val="5CE17D28"/>
    <w:rsid w:val="5CE70DB3"/>
    <w:rsid w:val="5CE943C9"/>
    <w:rsid w:val="5CF20C05"/>
    <w:rsid w:val="5CF21D7F"/>
    <w:rsid w:val="5CF447D5"/>
    <w:rsid w:val="5CF617C9"/>
    <w:rsid w:val="5D015FA3"/>
    <w:rsid w:val="5D047EE8"/>
    <w:rsid w:val="5D0E453B"/>
    <w:rsid w:val="5D110C61"/>
    <w:rsid w:val="5D126228"/>
    <w:rsid w:val="5D1949C1"/>
    <w:rsid w:val="5D1B0F43"/>
    <w:rsid w:val="5D1F3C0E"/>
    <w:rsid w:val="5D3734F1"/>
    <w:rsid w:val="5D3A42DC"/>
    <w:rsid w:val="5D423265"/>
    <w:rsid w:val="5D46020C"/>
    <w:rsid w:val="5D493AD6"/>
    <w:rsid w:val="5D4A0C8B"/>
    <w:rsid w:val="5D6C6AD3"/>
    <w:rsid w:val="5D88742A"/>
    <w:rsid w:val="5D9C10CD"/>
    <w:rsid w:val="5DA11663"/>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E091FB5"/>
    <w:rsid w:val="5E0B625C"/>
    <w:rsid w:val="5E0E0B57"/>
    <w:rsid w:val="5E177160"/>
    <w:rsid w:val="5E277D80"/>
    <w:rsid w:val="5E280CB5"/>
    <w:rsid w:val="5E2F1ECF"/>
    <w:rsid w:val="5E4130FC"/>
    <w:rsid w:val="5E447267"/>
    <w:rsid w:val="5E4636DC"/>
    <w:rsid w:val="5E4A572D"/>
    <w:rsid w:val="5E4F5735"/>
    <w:rsid w:val="5E5667A6"/>
    <w:rsid w:val="5E590672"/>
    <w:rsid w:val="5E5C2FC2"/>
    <w:rsid w:val="5E676802"/>
    <w:rsid w:val="5E6803ED"/>
    <w:rsid w:val="5E6C1E14"/>
    <w:rsid w:val="5E6C7C78"/>
    <w:rsid w:val="5E72699B"/>
    <w:rsid w:val="5E726C34"/>
    <w:rsid w:val="5E7540F0"/>
    <w:rsid w:val="5E78041D"/>
    <w:rsid w:val="5E794082"/>
    <w:rsid w:val="5E815CED"/>
    <w:rsid w:val="5E887A26"/>
    <w:rsid w:val="5E8C28B6"/>
    <w:rsid w:val="5E8E2A3B"/>
    <w:rsid w:val="5E8E48D5"/>
    <w:rsid w:val="5EA35CFD"/>
    <w:rsid w:val="5EA63358"/>
    <w:rsid w:val="5EAC0CC5"/>
    <w:rsid w:val="5EAF07E9"/>
    <w:rsid w:val="5EB75E1B"/>
    <w:rsid w:val="5EC56393"/>
    <w:rsid w:val="5EE01671"/>
    <w:rsid w:val="5EF078DD"/>
    <w:rsid w:val="5EF62DCD"/>
    <w:rsid w:val="5EFB0071"/>
    <w:rsid w:val="5EFE34A1"/>
    <w:rsid w:val="5F173FD8"/>
    <w:rsid w:val="5F257412"/>
    <w:rsid w:val="5F3262F4"/>
    <w:rsid w:val="5F346BE0"/>
    <w:rsid w:val="5F375038"/>
    <w:rsid w:val="5F485410"/>
    <w:rsid w:val="5F5C27E5"/>
    <w:rsid w:val="5F5D0FFB"/>
    <w:rsid w:val="5F6938A8"/>
    <w:rsid w:val="5F6E03B0"/>
    <w:rsid w:val="5F6E2815"/>
    <w:rsid w:val="5F7C06D8"/>
    <w:rsid w:val="5F9430F2"/>
    <w:rsid w:val="5F9E02EC"/>
    <w:rsid w:val="5FA1081C"/>
    <w:rsid w:val="5FAF5E71"/>
    <w:rsid w:val="5FAF6679"/>
    <w:rsid w:val="5FB83D19"/>
    <w:rsid w:val="5FBB5BDB"/>
    <w:rsid w:val="5FD9462B"/>
    <w:rsid w:val="5FDA36A7"/>
    <w:rsid w:val="5FDB6FCF"/>
    <w:rsid w:val="5FE061B9"/>
    <w:rsid w:val="5FEB5761"/>
    <w:rsid w:val="5FF178E9"/>
    <w:rsid w:val="5FF2552B"/>
    <w:rsid w:val="5FFB6305"/>
    <w:rsid w:val="5FFB6714"/>
    <w:rsid w:val="60011320"/>
    <w:rsid w:val="60155070"/>
    <w:rsid w:val="60267D5D"/>
    <w:rsid w:val="604100BA"/>
    <w:rsid w:val="60422D79"/>
    <w:rsid w:val="60550F25"/>
    <w:rsid w:val="6057025C"/>
    <w:rsid w:val="6059293F"/>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B115D"/>
    <w:rsid w:val="610B7004"/>
    <w:rsid w:val="610D23BF"/>
    <w:rsid w:val="61120121"/>
    <w:rsid w:val="611F5E40"/>
    <w:rsid w:val="612650A2"/>
    <w:rsid w:val="61275225"/>
    <w:rsid w:val="61290816"/>
    <w:rsid w:val="613971A8"/>
    <w:rsid w:val="613A1351"/>
    <w:rsid w:val="614041D7"/>
    <w:rsid w:val="61512151"/>
    <w:rsid w:val="615408D7"/>
    <w:rsid w:val="61552A82"/>
    <w:rsid w:val="616B1B3A"/>
    <w:rsid w:val="616C655B"/>
    <w:rsid w:val="616E381D"/>
    <w:rsid w:val="61702147"/>
    <w:rsid w:val="61811507"/>
    <w:rsid w:val="6183209E"/>
    <w:rsid w:val="61836DE9"/>
    <w:rsid w:val="61A21ED5"/>
    <w:rsid w:val="61AA66DD"/>
    <w:rsid w:val="61BA5EFD"/>
    <w:rsid w:val="61C7660C"/>
    <w:rsid w:val="61D272BB"/>
    <w:rsid w:val="61D55DBE"/>
    <w:rsid w:val="61D81BE2"/>
    <w:rsid w:val="61DF4F68"/>
    <w:rsid w:val="61E47F27"/>
    <w:rsid w:val="61E93AD6"/>
    <w:rsid w:val="61F55CC4"/>
    <w:rsid w:val="61F93243"/>
    <w:rsid w:val="620100B1"/>
    <w:rsid w:val="620E5986"/>
    <w:rsid w:val="62190F45"/>
    <w:rsid w:val="62193B80"/>
    <w:rsid w:val="621B4181"/>
    <w:rsid w:val="62216BE1"/>
    <w:rsid w:val="62311BC3"/>
    <w:rsid w:val="62353B47"/>
    <w:rsid w:val="62361100"/>
    <w:rsid w:val="624076D6"/>
    <w:rsid w:val="624579DF"/>
    <w:rsid w:val="62511DE0"/>
    <w:rsid w:val="6257333B"/>
    <w:rsid w:val="626165F7"/>
    <w:rsid w:val="62697D86"/>
    <w:rsid w:val="627C7CC4"/>
    <w:rsid w:val="628C53F9"/>
    <w:rsid w:val="62937829"/>
    <w:rsid w:val="62977285"/>
    <w:rsid w:val="62A20B07"/>
    <w:rsid w:val="62A3501A"/>
    <w:rsid w:val="62A414E0"/>
    <w:rsid w:val="62A9226E"/>
    <w:rsid w:val="62AA446C"/>
    <w:rsid w:val="62BA5904"/>
    <w:rsid w:val="62CC77CB"/>
    <w:rsid w:val="62CD6A55"/>
    <w:rsid w:val="62D51842"/>
    <w:rsid w:val="62F3784F"/>
    <w:rsid w:val="62F41404"/>
    <w:rsid w:val="62FF3FB5"/>
    <w:rsid w:val="63021DE2"/>
    <w:rsid w:val="63082288"/>
    <w:rsid w:val="63112339"/>
    <w:rsid w:val="6319412A"/>
    <w:rsid w:val="631E4EB5"/>
    <w:rsid w:val="632C21E9"/>
    <w:rsid w:val="632C2662"/>
    <w:rsid w:val="633013E8"/>
    <w:rsid w:val="633758BB"/>
    <w:rsid w:val="63385D89"/>
    <w:rsid w:val="633A0F04"/>
    <w:rsid w:val="633F1EE3"/>
    <w:rsid w:val="6340127C"/>
    <w:rsid w:val="63402FDE"/>
    <w:rsid w:val="634058C6"/>
    <w:rsid w:val="6359796C"/>
    <w:rsid w:val="63654FE0"/>
    <w:rsid w:val="637D2246"/>
    <w:rsid w:val="63835B20"/>
    <w:rsid w:val="63922E04"/>
    <w:rsid w:val="63985508"/>
    <w:rsid w:val="639D4C12"/>
    <w:rsid w:val="63AA5332"/>
    <w:rsid w:val="63C4067C"/>
    <w:rsid w:val="63C61233"/>
    <w:rsid w:val="63D33DB7"/>
    <w:rsid w:val="63E71411"/>
    <w:rsid w:val="63EB6D0E"/>
    <w:rsid w:val="63FF6AFB"/>
    <w:rsid w:val="640754EE"/>
    <w:rsid w:val="64133BE6"/>
    <w:rsid w:val="64142736"/>
    <w:rsid w:val="642052D3"/>
    <w:rsid w:val="642A2A58"/>
    <w:rsid w:val="642A353F"/>
    <w:rsid w:val="64344D84"/>
    <w:rsid w:val="64391A57"/>
    <w:rsid w:val="6439450F"/>
    <w:rsid w:val="643C15FF"/>
    <w:rsid w:val="64456123"/>
    <w:rsid w:val="645300B5"/>
    <w:rsid w:val="64585109"/>
    <w:rsid w:val="645F7031"/>
    <w:rsid w:val="64663CD8"/>
    <w:rsid w:val="646D1B4F"/>
    <w:rsid w:val="647A6EE8"/>
    <w:rsid w:val="64881679"/>
    <w:rsid w:val="649F7EFD"/>
    <w:rsid w:val="64A67ACD"/>
    <w:rsid w:val="64A8401C"/>
    <w:rsid w:val="64A84422"/>
    <w:rsid w:val="64B23DB4"/>
    <w:rsid w:val="64B25F3E"/>
    <w:rsid w:val="64B55A95"/>
    <w:rsid w:val="64B64B66"/>
    <w:rsid w:val="64B86E2A"/>
    <w:rsid w:val="64C12A40"/>
    <w:rsid w:val="64C15487"/>
    <w:rsid w:val="64C51685"/>
    <w:rsid w:val="64C82CB3"/>
    <w:rsid w:val="64DD1B37"/>
    <w:rsid w:val="64E225CD"/>
    <w:rsid w:val="64EC4DD9"/>
    <w:rsid w:val="650A1380"/>
    <w:rsid w:val="650E004B"/>
    <w:rsid w:val="65137300"/>
    <w:rsid w:val="652667CE"/>
    <w:rsid w:val="6526740F"/>
    <w:rsid w:val="653A4E65"/>
    <w:rsid w:val="653B3110"/>
    <w:rsid w:val="653D16E0"/>
    <w:rsid w:val="653F29D2"/>
    <w:rsid w:val="6556674F"/>
    <w:rsid w:val="655A6BFF"/>
    <w:rsid w:val="655F2B6C"/>
    <w:rsid w:val="65862CD9"/>
    <w:rsid w:val="6588686F"/>
    <w:rsid w:val="659E28A6"/>
    <w:rsid w:val="659E46D8"/>
    <w:rsid w:val="65A57048"/>
    <w:rsid w:val="65AA3FD2"/>
    <w:rsid w:val="65B50E5A"/>
    <w:rsid w:val="65B76A01"/>
    <w:rsid w:val="65C1054A"/>
    <w:rsid w:val="65C3067B"/>
    <w:rsid w:val="65C45587"/>
    <w:rsid w:val="65D40A3C"/>
    <w:rsid w:val="65D54781"/>
    <w:rsid w:val="65D7500D"/>
    <w:rsid w:val="65DB784E"/>
    <w:rsid w:val="65DF45BB"/>
    <w:rsid w:val="65EC3813"/>
    <w:rsid w:val="660867AF"/>
    <w:rsid w:val="661C3E14"/>
    <w:rsid w:val="662437C9"/>
    <w:rsid w:val="662D27C6"/>
    <w:rsid w:val="66452970"/>
    <w:rsid w:val="66452FE9"/>
    <w:rsid w:val="6665550D"/>
    <w:rsid w:val="666C795E"/>
    <w:rsid w:val="66741477"/>
    <w:rsid w:val="6679092A"/>
    <w:rsid w:val="668D7DF1"/>
    <w:rsid w:val="66964197"/>
    <w:rsid w:val="66AB7EE5"/>
    <w:rsid w:val="66AD415D"/>
    <w:rsid w:val="66C73D9C"/>
    <w:rsid w:val="66D04B5E"/>
    <w:rsid w:val="66D4381F"/>
    <w:rsid w:val="66D60DB1"/>
    <w:rsid w:val="66E561D8"/>
    <w:rsid w:val="66EA3DD6"/>
    <w:rsid w:val="66EA5766"/>
    <w:rsid w:val="66F00AF0"/>
    <w:rsid w:val="66F03799"/>
    <w:rsid w:val="6700750E"/>
    <w:rsid w:val="671212E1"/>
    <w:rsid w:val="671A768B"/>
    <w:rsid w:val="671D6BF1"/>
    <w:rsid w:val="67283806"/>
    <w:rsid w:val="67580868"/>
    <w:rsid w:val="675F33F2"/>
    <w:rsid w:val="67610EFA"/>
    <w:rsid w:val="6773071F"/>
    <w:rsid w:val="67805A9B"/>
    <w:rsid w:val="678D5B85"/>
    <w:rsid w:val="67904419"/>
    <w:rsid w:val="67995A29"/>
    <w:rsid w:val="67A00193"/>
    <w:rsid w:val="67AE06E9"/>
    <w:rsid w:val="67B002A3"/>
    <w:rsid w:val="67B4012C"/>
    <w:rsid w:val="67B563BE"/>
    <w:rsid w:val="67B64100"/>
    <w:rsid w:val="67DB2545"/>
    <w:rsid w:val="67DC482A"/>
    <w:rsid w:val="67E55620"/>
    <w:rsid w:val="67EA5494"/>
    <w:rsid w:val="67EB5FE1"/>
    <w:rsid w:val="67EC0F75"/>
    <w:rsid w:val="67ED1ADF"/>
    <w:rsid w:val="67FC2BE7"/>
    <w:rsid w:val="68010F04"/>
    <w:rsid w:val="68080C09"/>
    <w:rsid w:val="68091997"/>
    <w:rsid w:val="680D19BB"/>
    <w:rsid w:val="680F7916"/>
    <w:rsid w:val="6811363D"/>
    <w:rsid w:val="6815717B"/>
    <w:rsid w:val="681A46E7"/>
    <w:rsid w:val="681B7F08"/>
    <w:rsid w:val="68221A8C"/>
    <w:rsid w:val="68347A35"/>
    <w:rsid w:val="68497723"/>
    <w:rsid w:val="684D6D87"/>
    <w:rsid w:val="684F6446"/>
    <w:rsid w:val="685036D0"/>
    <w:rsid w:val="68525B9B"/>
    <w:rsid w:val="685B0CC7"/>
    <w:rsid w:val="686750BD"/>
    <w:rsid w:val="68802F24"/>
    <w:rsid w:val="688432AD"/>
    <w:rsid w:val="6886446B"/>
    <w:rsid w:val="6886482A"/>
    <w:rsid w:val="688C12CD"/>
    <w:rsid w:val="688E57BC"/>
    <w:rsid w:val="68904BFB"/>
    <w:rsid w:val="68A0499E"/>
    <w:rsid w:val="68A36E99"/>
    <w:rsid w:val="68AE3670"/>
    <w:rsid w:val="68B450DE"/>
    <w:rsid w:val="68B67BC3"/>
    <w:rsid w:val="68B94ED2"/>
    <w:rsid w:val="68B9520E"/>
    <w:rsid w:val="68C332BA"/>
    <w:rsid w:val="68C66F87"/>
    <w:rsid w:val="68C708F2"/>
    <w:rsid w:val="68CA49DF"/>
    <w:rsid w:val="68CB582D"/>
    <w:rsid w:val="68CB5FB4"/>
    <w:rsid w:val="68D56251"/>
    <w:rsid w:val="68DD1540"/>
    <w:rsid w:val="68E730C8"/>
    <w:rsid w:val="68E872D1"/>
    <w:rsid w:val="68EF5946"/>
    <w:rsid w:val="68F23CD8"/>
    <w:rsid w:val="68F25DFA"/>
    <w:rsid w:val="68FA3BDC"/>
    <w:rsid w:val="68FF3746"/>
    <w:rsid w:val="68FF6567"/>
    <w:rsid w:val="6902390E"/>
    <w:rsid w:val="692D78ED"/>
    <w:rsid w:val="693118AD"/>
    <w:rsid w:val="69482CC7"/>
    <w:rsid w:val="694A3FCB"/>
    <w:rsid w:val="695004B5"/>
    <w:rsid w:val="695B5C98"/>
    <w:rsid w:val="69603C4B"/>
    <w:rsid w:val="69614422"/>
    <w:rsid w:val="6966049F"/>
    <w:rsid w:val="69677A7F"/>
    <w:rsid w:val="69683F1C"/>
    <w:rsid w:val="69734633"/>
    <w:rsid w:val="69763341"/>
    <w:rsid w:val="69792C19"/>
    <w:rsid w:val="69816E96"/>
    <w:rsid w:val="6986197E"/>
    <w:rsid w:val="69871BB8"/>
    <w:rsid w:val="698F5FE8"/>
    <w:rsid w:val="69930E11"/>
    <w:rsid w:val="699C0EF8"/>
    <w:rsid w:val="69A23095"/>
    <w:rsid w:val="69AB5DBB"/>
    <w:rsid w:val="69B06EFE"/>
    <w:rsid w:val="69B840F1"/>
    <w:rsid w:val="69B935E9"/>
    <w:rsid w:val="69C066B5"/>
    <w:rsid w:val="69C91948"/>
    <w:rsid w:val="69D90254"/>
    <w:rsid w:val="69DC32D7"/>
    <w:rsid w:val="69DC353A"/>
    <w:rsid w:val="69E72B7A"/>
    <w:rsid w:val="69F2176C"/>
    <w:rsid w:val="69F22996"/>
    <w:rsid w:val="69FD45AC"/>
    <w:rsid w:val="6A093AF9"/>
    <w:rsid w:val="6A0C6539"/>
    <w:rsid w:val="6A112217"/>
    <w:rsid w:val="6A1E42D2"/>
    <w:rsid w:val="6A2314C2"/>
    <w:rsid w:val="6A233193"/>
    <w:rsid w:val="6A265B73"/>
    <w:rsid w:val="6A2826A1"/>
    <w:rsid w:val="6A3938D4"/>
    <w:rsid w:val="6A424D6D"/>
    <w:rsid w:val="6A473B0E"/>
    <w:rsid w:val="6A4E6FAF"/>
    <w:rsid w:val="6A551347"/>
    <w:rsid w:val="6A5660EE"/>
    <w:rsid w:val="6A5B1129"/>
    <w:rsid w:val="6A5D1911"/>
    <w:rsid w:val="6A7E1AA3"/>
    <w:rsid w:val="6A900BBC"/>
    <w:rsid w:val="6A9635F7"/>
    <w:rsid w:val="6A9F3407"/>
    <w:rsid w:val="6AA45AEE"/>
    <w:rsid w:val="6AAA05A9"/>
    <w:rsid w:val="6AE02BB5"/>
    <w:rsid w:val="6AE60B4C"/>
    <w:rsid w:val="6AF74076"/>
    <w:rsid w:val="6B0625D1"/>
    <w:rsid w:val="6B0E0011"/>
    <w:rsid w:val="6B113D9E"/>
    <w:rsid w:val="6B130F35"/>
    <w:rsid w:val="6B3529D0"/>
    <w:rsid w:val="6B357BE5"/>
    <w:rsid w:val="6B3611E8"/>
    <w:rsid w:val="6B3C6A10"/>
    <w:rsid w:val="6B3D3D48"/>
    <w:rsid w:val="6B406A00"/>
    <w:rsid w:val="6B472376"/>
    <w:rsid w:val="6B5B3158"/>
    <w:rsid w:val="6B5D6E33"/>
    <w:rsid w:val="6B6B1AAA"/>
    <w:rsid w:val="6B726A7C"/>
    <w:rsid w:val="6B7C465A"/>
    <w:rsid w:val="6B8833D8"/>
    <w:rsid w:val="6B8902B7"/>
    <w:rsid w:val="6B960293"/>
    <w:rsid w:val="6B9878C4"/>
    <w:rsid w:val="6BA832B8"/>
    <w:rsid w:val="6BAE0120"/>
    <w:rsid w:val="6BB54A7D"/>
    <w:rsid w:val="6BBA4198"/>
    <w:rsid w:val="6BBA5C26"/>
    <w:rsid w:val="6BC644EC"/>
    <w:rsid w:val="6BCB5EF8"/>
    <w:rsid w:val="6BDB04B6"/>
    <w:rsid w:val="6BE963BE"/>
    <w:rsid w:val="6C0F365E"/>
    <w:rsid w:val="6C0F611F"/>
    <w:rsid w:val="6C1E0B28"/>
    <w:rsid w:val="6C2E2CA9"/>
    <w:rsid w:val="6C33536D"/>
    <w:rsid w:val="6C3E2DB7"/>
    <w:rsid w:val="6C3E3641"/>
    <w:rsid w:val="6C496677"/>
    <w:rsid w:val="6C517C19"/>
    <w:rsid w:val="6C547454"/>
    <w:rsid w:val="6C5648D5"/>
    <w:rsid w:val="6C650278"/>
    <w:rsid w:val="6C740601"/>
    <w:rsid w:val="6C7F6C59"/>
    <w:rsid w:val="6C82556D"/>
    <w:rsid w:val="6C842DAB"/>
    <w:rsid w:val="6C856E8B"/>
    <w:rsid w:val="6C8A5474"/>
    <w:rsid w:val="6CC14966"/>
    <w:rsid w:val="6CC61D04"/>
    <w:rsid w:val="6CC9029C"/>
    <w:rsid w:val="6CC91B21"/>
    <w:rsid w:val="6CD85C69"/>
    <w:rsid w:val="6CDD1D7B"/>
    <w:rsid w:val="6CF22917"/>
    <w:rsid w:val="6CF95B3A"/>
    <w:rsid w:val="6CFA4338"/>
    <w:rsid w:val="6D021A38"/>
    <w:rsid w:val="6D0636AF"/>
    <w:rsid w:val="6D176994"/>
    <w:rsid w:val="6D233DD2"/>
    <w:rsid w:val="6D44019E"/>
    <w:rsid w:val="6D464DCC"/>
    <w:rsid w:val="6D5019CA"/>
    <w:rsid w:val="6D5B5B94"/>
    <w:rsid w:val="6D5B6725"/>
    <w:rsid w:val="6D616216"/>
    <w:rsid w:val="6D7F6C7C"/>
    <w:rsid w:val="6D861CBD"/>
    <w:rsid w:val="6D8D1511"/>
    <w:rsid w:val="6D932C97"/>
    <w:rsid w:val="6D9868E0"/>
    <w:rsid w:val="6DA225C5"/>
    <w:rsid w:val="6DAA57EB"/>
    <w:rsid w:val="6DB630F7"/>
    <w:rsid w:val="6DBF57D4"/>
    <w:rsid w:val="6DC27A0E"/>
    <w:rsid w:val="6DDD44A9"/>
    <w:rsid w:val="6DF90DFC"/>
    <w:rsid w:val="6E04099A"/>
    <w:rsid w:val="6E097C58"/>
    <w:rsid w:val="6E0A3A02"/>
    <w:rsid w:val="6E0E61FC"/>
    <w:rsid w:val="6E10454B"/>
    <w:rsid w:val="6E2C7EA1"/>
    <w:rsid w:val="6E3101C1"/>
    <w:rsid w:val="6E364A2F"/>
    <w:rsid w:val="6E451A64"/>
    <w:rsid w:val="6E67698D"/>
    <w:rsid w:val="6E6839F7"/>
    <w:rsid w:val="6E6C36B8"/>
    <w:rsid w:val="6E733F82"/>
    <w:rsid w:val="6E756A51"/>
    <w:rsid w:val="6E7C3832"/>
    <w:rsid w:val="6E7C59F8"/>
    <w:rsid w:val="6E874489"/>
    <w:rsid w:val="6E960A52"/>
    <w:rsid w:val="6E9C603B"/>
    <w:rsid w:val="6EA0744D"/>
    <w:rsid w:val="6EA3291D"/>
    <w:rsid w:val="6EA67504"/>
    <w:rsid w:val="6EA70317"/>
    <w:rsid w:val="6EA9791B"/>
    <w:rsid w:val="6EB05630"/>
    <w:rsid w:val="6EC72810"/>
    <w:rsid w:val="6EC95C51"/>
    <w:rsid w:val="6ED133CF"/>
    <w:rsid w:val="6ED43FE2"/>
    <w:rsid w:val="6EDD75A0"/>
    <w:rsid w:val="6EE73EE7"/>
    <w:rsid w:val="6EED1146"/>
    <w:rsid w:val="6EF90426"/>
    <w:rsid w:val="6F0D2298"/>
    <w:rsid w:val="6F145E1F"/>
    <w:rsid w:val="6F164ADC"/>
    <w:rsid w:val="6F276C23"/>
    <w:rsid w:val="6F2F4168"/>
    <w:rsid w:val="6F37324B"/>
    <w:rsid w:val="6F4B77AB"/>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73A98"/>
    <w:rsid w:val="6FE853FD"/>
    <w:rsid w:val="6FED1232"/>
    <w:rsid w:val="6FF23142"/>
    <w:rsid w:val="700A32D4"/>
    <w:rsid w:val="7011160C"/>
    <w:rsid w:val="70143D7F"/>
    <w:rsid w:val="701900C5"/>
    <w:rsid w:val="7019217D"/>
    <w:rsid w:val="701A1F84"/>
    <w:rsid w:val="702D38BB"/>
    <w:rsid w:val="70394E16"/>
    <w:rsid w:val="703B2856"/>
    <w:rsid w:val="70512274"/>
    <w:rsid w:val="707136A0"/>
    <w:rsid w:val="7071512F"/>
    <w:rsid w:val="70836044"/>
    <w:rsid w:val="708E3F08"/>
    <w:rsid w:val="70945DFE"/>
    <w:rsid w:val="70963635"/>
    <w:rsid w:val="709E757C"/>
    <w:rsid w:val="70A4031D"/>
    <w:rsid w:val="70A81FF7"/>
    <w:rsid w:val="70A85AB0"/>
    <w:rsid w:val="70AB6982"/>
    <w:rsid w:val="70B74010"/>
    <w:rsid w:val="70B960E4"/>
    <w:rsid w:val="70BD0161"/>
    <w:rsid w:val="70CE2945"/>
    <w:rsid w:val="70D138D4"/>
    <w:rsid w:val="70D84A24"/>
    <w:rsid w:val="70DD4262"/>
    <w:rsid w:val="70E03E42"/>
    <w:rsid w:val="70EF55D6"/>
    <w:rsid w:val="710003A8"/>
    <w:rsid w:val="710376A0"/>
    <w:rsid w:val="71055269"/>
    <w:rsid w:val="71094BE2"/>
    <w:rsid w:val="710F0BB8"/>
    <w:rsid w:val="711654FA"/>
    <w:rsid w:val="71194261"/>
    <w:rsid w:val="711C5BB5"/>
    <w:rsid w:val="71375D39"/>
    <w:rsid w:val="713813D1"/>
    <w:rsid w:val="713839ED"/>
    <w:rsid w:val="7144689C"/>
    <w:rsid w:val="714872A8"/>
    <w:rsid w:val="714E4437"/>
    <w:rsid w:val="71594A6C"/>
    <w:rsid w:val="715971DA"/>
    <w:rsid w:val="715D2704"/>
    <w:rsid w:val="71623083"/>
    <w:rsid w:val="717E5F2F"/>
    <w:rsid w:val="71885178"/>
    <w:rsid w:val="718B15C7"/>
    <w:rsid w:val="719C0345"/>
    <w:rsid w:val="71A10D69"/>
    <w:rsid w:val="71AE0C41"/>
    <w:rsid w:val="71B2274D"/>
    <w:rsid w:val="71BF4E45"/>
    <w:rsid w:val="71C20258"/>
    <w:rsid w:val="71C43B20"/>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542C5"/>
    <w:rsid w:val="72713F85"/>
    <w:rsid w:val="72725AF0"/>
    <w:rsid w:val="72791350"/>
    <w:rsid w:val="727928CB"/>
    <w:rsid w:val="727E25B6"/>
    <w:rsid w:val="72931EAF"/>
    <w:rsid w:val="72963B15"/>
    <w:rsid w:val="729B43C7"/>
    <w:rsid w:val="729B556A"/>
    <w:rsid w:val="72A264DB"/>
    <w:rsid w:val="72AA2B66"/>
    <w:rsid w:val="72B90E5A"/>
    <w:rsid w:val="72BD48D1"/>
    <w:rsid w:val="72C65D78"/>
    <w:rsid w:val="72CC26C6"/>
    <w:rsid w:val="72D62BD5"/>
    <w:rsid w:val="72D7336E"/>
    <w:rsid w:val="72E12618"/>
    <w:rsid w:val="72E21E76"/>
    <w:rsid w:val="72F21234"/>
    <w:rsid w:val="72FD0906"/>
    <w:rsid w:val="72FE4543"/>
    <w:rsid w:val="73116555"/>
    <w:rsid w:val="7313580C"/>
    <w:rsid w:val="731D5BEB"/>
    <w:rsid w:val="73217599"/>
    <w:rsid w:val="73256981"/>
    <w:rsid w:val="73296739"/>
    <w:rsid w:val="732B43BB"/>
    <w:rsid w:val="73300890"/>
    <w:rsid w:val="7339443F"/>
    <w:rsid w:val="73422CFE"/>
    <w:rsid w:val="7344461F"/>
    <w:rsid w:val="73560691"/>
    <w:rsid w:val="73581836"/>
    <w:rsid w:val="7358659E"/>
    <w:rsid w:val="736B1563"/>
    <w:rsid w:val="73795D74"/>
    <w:rsid w:val="739509FA"/>
    <w:rsid w:val="73A80755"/>
    <w:rsid w:val="73C4164C"/>
    <w:rsid w:val="73C93E07"/>
    <w:rsid w:val="73CC2841"/>
    <w:rsid w:val="73CC653A"/>
    <w:rsid w:val="73D159A1"/>
    <w:rsid w:val="73D217D6"/>
    <w:rsid w:val="73DD0AC3"/>
    <w:rsid w:val="73E00FC2"/>
    <w:rsid w:val="73E15372"/>
    <w:rsid w:val="73E7495B"/>
    <w:rsid w:val="73E80E90"/>
    <w:rsid w:val="73E96F00"/>
    <w:rsid w:val="73F35C20"/>
    <w:rsid w:val="73F8462A"/>
    <w:rsid w:val="740228AA"/>
    <w:rsid w:val="74036C0D"/>
    <w:rsid w:val="74037621"/>
    <w:rsid w:val="740C66E7"/>
    <w:rsid w:val="74186D14"/>
    <w:rsid w:val="741C3B3B"/>
    <w:rsid w:val="741D2D43"/>
    <w:rsid w:val="743970F8"/>
    <w:rsid w:val="745B0796"/>
    <w:rsid w:val="745F4062"/>
    <w:rsid w:val="74633A98"/>
    <w:rsid w:val="74677F8D"/>
    <w:rsid w:val="746B330F"/>
    <w:rsid w:val="746F28A8"/>
    <w:rsid w:val="74792499"/>
    <w:rsid w:val="74904F70"/>
    <w:rsid w:val="749E35B7"/>
    <w:rsid w:val="74A10861"/>
    <w:rsid w:val="74A70E8A"/>
    <w:rsid w:val="74DF558B"/>
    <w:rsid w:val="74E7236A"/>
    <w:rsid w:val="74EE1D1B"/>
    <w:rsid w:val="74F10289"/>
    <w:rsid w:val="74F34F85"/>
    <w:rsid w:val="74F826B3"/>
    <w:rsid w:val="75014572"/>
    <w:rsid w:val="7505127B"/>
    <w:rsid w:val="75055A8C"/>
    <w:rsid w:val="75067D82"/>
    <w:rsid w:val="750B7E6D"/>
    <w:rsid w:val="75101474"/>
    <w:rsid w:val="75152359"/>
    <w:rsid w:val="75175FE5"/>
    <w:rsid w:val="752955C7"/>
    <w:rsid w:val="752C5D8D"/>
    <w:rsid w:val="753251A1"/>
    <w:rsid w:val="753C30B0"/>
    <w:rsid w:val="75473AB6"/>
    <w:rsid w:val="754F551C"/>
    <w:rsid w:val="755A639D"/>
    <w:rsid w:val="75612341"/>
    <w:rsid w:val="75651105"/>
    <w:rsid w:val="756B34A4"/>
    <w:rsid w:val="757E7386"/>
    <w:rsid w:val="75882465"/>
    <w:rsid w:val="7589081E"/>
    <w:rsid w:val="75913AD5"/>
    <w:rsid w:val="75966D08"/>
    <w:rsid w:val="75AB03F6"/>
    <w:rsid w:val="75C04D35"/>
    <w:rsid w:val="75CA48E7"/>
    <w:rsid w:val="75CE07FB"/>
    <w:rsid w:val="75D15E60"/>
    <w:rsid w:val="75D73B5A"/>
    <w:rsid w:val="75DA04F9"/>
    <w:rsid w:val="75E027FD"/>
    <w:rsid w:val="75E21B92"/>
    <w:rsid w:val="75E73443"/>
    <w:rsid w:val="75E85E32"/>
    <w:rsid w:val="75FB149C"/>
    <w:rsid w:val="762F1E3E"/>
    <w:rsid w:val="76351D9E"/>
    <w:rsid w:val="763E077B"/>
    <w:rsid w:val="7640418E"/>
    <w:rsid w:val="764E2984"/>
    <w:rsid w:val="76511A24"/>
    <w:rsid w:val="765629A7"/>
    <w:rsid w:val="765728BC"/>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7136"/>
    <w:rsid w:val="76C80C31"/>
    <w:rsid w:val="76DD09AF"/>
    <w:rsid w:val="76ED1347"/>
    <w:rsid w:val="76F433E8"/>
    <w:rsid w:val="76FD2439"/>
    <w:rsid w:val="77176F12"/>
    <w:rsid w:val="771946D8"/>
    <w:rsid w:val="772268FD"/>
    <w:rsid w:val="772A798F"/>
    <w:rsid w:val="773D5274"/>
    <w:rsid w:val="77402C4B"/>
    <w:rsid w:val="77474684"/>
    <w:rsid w:val="774B39B8"/>
    <w:rsid w:val="774D73AB"/>
    <w:rsid w:val="775666E2"/>
    <w:rsid w:val="77653ACC"/>
    <w:rsid w:val="776A41AC"/>
    <w:rsid w:val="77747DD3"/>
    <w:rsid w:val="77822E2E"/>
    <w:rsid w:val="778E3E67"/>
    <w:rsid w:val="77993A5E"/>
    <w:rsid w:val="77A04EAE"/>
    <w:rsid w:val="77A82770"/>
    <w:rsid w:val="77AA0201"/>
    <w:rsid w:val="77BD4BE4"/>
    <w:rsid w:val="77BD7E72"/>
    <w:rsid w:val="77C9487D"/>
    <w:rsid w:val="77D0299F"/>
    <w:rsid w:val="77D54C13"/>
    <w:rsid w:val="77DF1924"/>
    <w:rsid w:val="77E80F1F"/>
    <w:rsid w:val="77ED0386"/>
    <w:rsid w:val="77F72469"/>
    <w:rsid w:val="77F854D4"/>
    <w:rsid w:val="77F94BE3"/>
    <w:rsid w:val="78003B18"/>
    <w:rsid w:val="78020619"/>
    <w:rsid w:val="78065036"/>
    <w:rsid w:val="780D5CB6"/>
    <w:rsid w:val="78155E57"/>
    <w:rsid w:val="782E5D10"/>
    <w:rsid w:val="783436C5"/>
    <w:rsid w:val="78366B8C"/>
    <w:rsid w:val="783B287A"/>
    <w:rsid w:val="783C57CF"/>
    <w:rsid w:val="78482C69"/>
    <w:rsid w:val="784A1B54"/>
    <w:rsid w:val="785E0702"/>
    <w:rsid w:val="785E7689"/>
    <w:rsid w:val="786A7B13"/>
    <w:rsid w:val="787C388D"/>
    <w:rsid w:val="788249B9"/>
    <w:rsid w:val="78855690"/>
    <w:rsid w:val="78886D15"/>
    <w:rsid w:val="78A46DA4"/>
    <w:rsid w:val="78AD7D8E"/>
    <w:rsid w:val="78B2035E"/>
    <w:rsid w:val="78B43B82"/>
    <w:rsid w:val="78B57D9C"/>
    <w:rsid w:val="78B9117D"/>
    <w:rsid w:val="78B92BFB"/>
    <w:rsid w:val="78BA61D2"/>
    <w:rsid w:val="78BB76EA"/>
    <w:rsid w:val="78D4188D"/>
    <w:rsid w:val="78DC11BF"/>
    <w:rsid w:val="78DF11B5"/>
    <w:rsid w:val="78E26C73"/>
    <w:rsid w:val="78E76B0F"/>
    <w:rsid w:val="78F65C61"/>
    <w:rsid w:val="78F9125E"/>
    <w:rsid w:val="78FB1BD1"/>
    <w:rsid w:val="79186D4E"/>
    <w:rsid w:val="791A5E37"/>
    <w:rsid w:val="79213328"/>
    <w:rsid w:val="79213DE2"/>
    <w:rsid w:val="79347FB5"/>
    <w:rsid w:val="793809FB"/>
    <w:rsid w:val="79395546"/>
    <w:rsid w:val="795F1230"/>
    <w:rsid w:val="796308CE"/>
    <w:rsid w:val="7964511F"/>
    <w:rsid w:val="79824E81"/>
    <w:rsid w:val="798947A4"/>
    <w:rsid w:val="79956A1C"/>
    <w:rsid w:val="79967FCE"/>
    <w:rsid w:val="799B2468"/>
    <w:rsid w:val="799E7491"/>
    <w:rsid w:val="799F3F47"/>
    <w:rsid w:val="79A41599"/>
    <w:rsid w:val="79A72484"/>
    <w:rsid w:val="79A82466"/>
    <w:rsid w:val="79BA471D"/>
    <w:rsid w:val="79C47FC2"/>
    <w:rsid w:val="79C51FED"/>
    <w:rsid w:val="79CC7064"/>
    <w:rsid w:val="79D417BE"/>
    <w:rsid w:val="79DF005F"/>
    <w:rsid w:val="79E028EC"/>
    <w:rsid w:val="79EB7193"/>
    <w:rsid w:val="79F47009"/>
    <w:rsid w:val="79F836A2"/>
    <w:rsid w:val="7A100363"/>
    <w:rsid w:val="7A10315F"/>
    <w:rsid w:val="7A114E8A"/>
    <w:rsid w:val="7A1C5B1C"/>
    <w:rsid w:val="7A221FDB"/>
    <w:rsid w:val="7A233119"/>
    <w:rsid w:val="7A2750B1"/>
    <w:rsid w:val="7A2D6C9D"/>
    <w:rsid w:val="7A325D9A"/>
    <w:rsid w:val="7A4653BA"/>
    <w:rsid w:val="7A4B4C2F"/>
    <w:rsid w:val="7A5E07BE"/>
    <w:rsid w:val="7A5F457E"/>
    <w:rsid w:val="7A636588"/>
    <w:rsid w:val="7A707B63"/>
    <w:rsid w:val="7A765EEC"/>
    <w:rsid w:val="7A773B5D"/>
    <w:rsid w:val="7A790CA9"/>
    <w:rsid w:val="7A7E0984"/>
    <w:rsid w:val="7AA36941"/>
    <w:rsid w:val="7AB0523D"/>
    <w:rsid w:val="7AB83F1D"/>
    <w:rsid w:val="7ACC04C2"/>
    <w:rsid w:val="7ACD5E5D"/>
    <w:rsid w:val="7AD234FC"/>
    <w:rsid w:val="7AD86C9B"/>
    <w:rsid w:val="7ADD6AF4"/>
    <w:rsid w:val="7AE2061C"/>
    <w:rsid w:val="7AE359FF"/>
    <w:rsid w:val="7AE960CA"/>
    <w:rsid w:val="7AED7596"/>
    <w:rsid w:val="7AF81096"/>
    <w:rsid w:val="7AF937F5"/>
    <w:rsid w:val="7B002131"/>
    <w:rsid w:val="7B063546"/>
    <w:rsid w:val="7B0864F6"/>
    <w:rsid w:val="7B134040"/>
    <w:rsid w:val="7B1B16D3"/>
    <w:rsid w:val="7B1B4F2B"/>
    <w:rsid w:val="7B2E6780"/>
    <w:rsid w:val="7B506EC2"/>
    <w:rsid w:val="7B5C5F85"/>
    <w:rsid w:val="7B5D217A"/>
    <w:rsid w:val="7B614801"/>
    <w:rsid w:val="7B6158E6"/>
    <w:rsid w:val="7B684A54"/>
    <w:rsid w:val="7B913B86"/>
    <w:rsid w:val="7B97422A"/>
    <w:rsid w:val="7BA42029"/>
    <w:rsid w:val="7BA969F0"/>
    <w:rsid w:val="7BB31B68"/>
    <w:rsid w:val="7BCB31C0"/>
    <w:rsid w:val="7BD630A3"/>
    <w:rsid w:val="7BD87616"/>
    <w:rsid w:val="7BDC6155"/>
    <w:rsid w:val="7BE0141A"/>
    <w:rsid w:val="7BE372CE"/>
    <w:rsid w:val="7BED600D"/>
    <w:rsid w:val="7BEF4BDC"/>
    <w:rsid w:val="7BF56A1B"/>
    <w:rsid w:val="7C035604"/>
    <w:rsid w:val="7C061616"/>
    <w:rsid w:val="7C071C5F"/>
    <w:rsid w:val="7C112DB9"/>
    <w:rsid w:val="7C1311BA"/>
    <w:rsid w:val="7C143475"/>
    <w:rsid w:val="7C17024E"/>
    <w:rsid w:val="7C175446"/>
    <w:rsid w:val="7C194469"/>
    <w:rsid w:val="7C1A6CD5"/>
    <w:rsid w:val="7C1E3C2F"/>
    <w:rsid w:val="7C2630F4"/>
    <w:rsid w:val="7C326149"/>
    <w:rsid w:val="7C344651"/>
    <w:rsid w:val="7C3A066B"/>
    <w:rsid w:val="7C45471C"/>
    <w:rsid w:val="7C550E32"/>
    <w:rsid w:val="7C581D52"/>
    <w:rsid w:val="7C60211A"/>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726F6"/>
    <w:rsid w:val="7CB3364E"/>
    <w:rsid w:val="7CC34496"/>
    <w:rsid w:val="7CC74A77"/>
    <w:rsid w:val="7CC90590"/>
    <w:rsid w:val="7CEF41D5"/>
    <w:rsid w:val="7CF84C17"/>
    <w:rsid w:val="7D020CA3"/>
    <w:rsid w:val="7D1E37D2"/>
    <w:rsid w:val="7D2F6FF7"/>
    <w:rsid w:val="7D303FCF"/>
    <w:rsid w:val="7D332F6D"/>
    <w:rsid w:val="7D3446E3"/>
    <w:rsid w:val="7D3A1A33"/>
    <w:rsid w:val="7D3D587B"/>
    <w:rsid w:val="7D406946"/>
    <w:rsid w:val="7D4435DF"/>
    <w:rsid w:val="7D4B267A"/>
    <w:rsid w:val="7D517A82"/>
    <w:rsid w:val="7D543BE6"/>
    <w:rsid w:val="7D5C75F5"/>
    <w:rsid w:val="7D694213"/>
    <w:rsid w:val="7D6B16D3"/>
    <w:rsid w:val="7D6E6D2F"/>
    <w:rsid w:val="7D7C5C83"/>
    <w:rsid w:val="7D83625D"/>
    <w:rsid w:val="7DA523FD"/>
    <w:rsid w:val="7DB838C8"/>
    <w:rsid w:val="7DC23C3E"/>
    <w:rsid w:val="7DC71E5F"/>
    <w:rsid w:val="7DCA5633"/>
    <w:rsid w:val="7DD90D34"/>
    <w:rsid w:val="7DE170A5"/>
    <w:rsid w:val="7DF115AC"/>
    <w:rsid w:val="7DF2097F"/>
    <w:rsid w:val="7DF46E1B"/>
    <w:rsid w:val="7E0464CE"/>
    <w:rsid w:val="7E114C29"/>
    <w:rsid w:val="7E1350EF"/>
    <w:rsid w:val="7E1F6022"/>
    <w:rsid w:val="7E1F63B5"/>
    <w:rsid w:val="7E202324"/>
    <w:rsid w:val="7E25554F"/>
    <w:rsid w:val="7E2C2660"/>
    <w:rsid w:val="7E421CCD"/>
    <w:rsid w:val="7E476D34"/>
    <w:rsid w:val="7E4C09C1"/>
    <w:rsid w:val="7E555A2D"/>
    <w:rsid w:val="7E5F1099"/>
    <w:rsid w:val="7E65038E"/>
    <w:rsid w:val="7E652BC4"/>
    <w:rsid w:val="7E69075A"/>
    <w:rsid w:val="7E6B5B5A"/>
    <w:rsid w:val="7E6D6DAE"/>
    <w:rsid w:val="7E6E430C"/>
    <w:rsid w:val="7E6F3FB2"/>
    <w:rsid w:val="7E957586"/>
    <w:rsid w:val="7E9B11AA"/>
    <w:rsid w:val="7E9E1DEB"/>
    <w:rsid w:val="7EA32AD0"/>
    <w:rsid w:val="7EAC79DF"/>
    <w:rsid w:val="7EBC7412"/>
    <w:rsid w:val="7ECD4344"/>
    <w:rsid w:val="7ED55007"/>
    <w:rsid w:val="7ED8145C"/>
    <w:rsid w:val="7ED953E3"/>
    <w:rsid w:val="7EE07D02"/>
    <w:rsid w:val="7EE9481A"/>
    <w:rsid w:val="7EF14B78"/>
    <w:rsid w:val="7EF765D0"/>
    <w:rsid w:val="7EF87C96"/>
    <w:rsid w:val="7F086927"/>
    <w:rsid w:val="7F0A3362"/>
    <w:rsid w:val="7F121E48"/>
    <w:rsid w:val="7F17164D"/>
    <w:rsid w:val="7F215D8A"/>
    <w:rsid w:val="7F243394"/>
    <w:rsid w:val="7F262B48"/>
    <w:rsid w:val="7F301B1E"/>
    <w:rsid w:val="7F375D0A"/>
    <w:rsid w:val="7F500CBA"/>
    <w:rsid w:val="7F587DE1"/>
    <w:rsid w:val="7F59726B"/>
    <w:rsid w:val="7F61016D"/>
    <w:rsid w:val="7F635A42"/>
    <w:rsid w:val="7F6D28E2"/>
    <w:rsid w:val="7F806B0A"/>
    <w:rsid w:val="7F820D78"/>
    <w:rsid w:val="7F85693E"/>
    <w:rsid w:val="7F8C4AE9"/>
    <w:rsid w:val="7F935AA2"/>
    <w:rsid w:val="7FA379C4"/>
    <w:rsid w:val="7FA51E6D"/>
    <w:rsid w:val="7FB549BA"/>
    <w:rsid w:val="7FBE7AD5"/>
    <w:rsid w:val="7FC76DE8"/>
    <w:rsid w:val="7FD10373"/>
    <w:rsid w:val="7FFD21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标题 1 字符"/>
    <w:link w:val="2"/>
    <w:qFormat/>
    <w:uiPriority w:val="99"/>
    <w:rPr>
      <w:rFonts w:ascii="Arial" w:hAnsi="Arial" w:eastAsia="黑体"/>
      <w:b/>
      <w:bCs/>
      <w:sz w:val="30"/>
      <w:szCs w:val="30"/>
      <w:lang w:val="zh-CN"/>
    </w:rPr>
  </w:style>
  <w:style w:type="character" w:customStyle="1" w:styleId="35">
    <w:name w:val="标题 3 字符"/>
    <w:link w:val="4"/>
    <w:qFormat/>
    <w:uiPriority w:val="9"/>
    <w:rPr>
      <w:b/>
      <w:bCs/>
      <w:sz w:val="32"/>
      <w:szCs w:val="32"/>
    </w:rPr>
  </w:style>
  <w:style w:type="character" w:customStyle="1" w:styleId="36">
    <w:name w:val="页眉 字符"/>
    <w:link w:val="18"/>
    <w:qFormat/>
    <w:uiPriority w:val="0"/>
    <w:rPr>
      <w:rFonts w:ascii="Arial" w:hAnsi="Arial" w:eastAsia="MS Mincho"/>
      <w:b/>
      <w:szCs w:val="24"/>
      <w:lang w:eastAsia="en-US"/>
    </w:rPr>
  </w:style>
  <w:style w:type="character" w:customStyle="1" w:styleId="37">
    <w:name w:val="批注主题 字符"/>
    <w:link w:val="22"/>
    <w:semiHidden/>
    <w:qFormat/>
    <w:uiPriority w:val="99"/>
    <w:rPr>
      <w:b/>
      <w:bCs/>
    </w:rPr>
  </w:style>
  <w:style w:type="character" w:customStyle="1" w:styleId="38">
    <w:name w:val="脚注文本 字符"/>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题注 字符"/>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批注文字 字符"/>
    <w:basedOn w:val="26"/>
    <w:link w:val="14"/>
    <w:qFormat/>
    <w:uiPriority w:val="0"/>
  </w:style>
  <w:style w:type="character" w:customStyle="1" w:styleId="51">
    <w:name w:val="正文文本 字符"/>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字符"/>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文档结构图 字符"/>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9.e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79ECE-9CA7-4314-964D-FB0DDA7B2721}">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22</Pages>
  <Words>8485</Words>
  <Characters>48368</Characters>
  <Lines>403</Lines>
  <Paragraphs>113</Paragraphs>
  <TotalTime>0</TotalTime>
  <ScaleCrop>false</ScaleCrop>
  <LinksUpToDate>false</LinksUpToDate>
  <CharactersWithSpaces>56740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2024-09-30T09:21:56Z</dcterms:modified>
  <dc:title>3GPP TSG-RAN WG1</dc:title>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183A3C1D49D0449CBD9CEBFCB1FCAA63</vt:lpwstr>
  </property>
</Properties>
</file>